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BF21A9">
      <w:pPr>
        <w:jc w:val="center"/>
        <w:rPr>
          <w:rFonts w:hint="eastAsia" w:ascii="宋体" w:hAnsi="宋体" w:eastAsia="宋体" w:cs="宋体"/>
          <w:color w:val="auto"/>
          <w:sz w:val="44"/>
          <w:szCs w:val="44"/>
          <w:highlight w:val="none"/>
        </w:rPr>
      </w:pPr>
      <w:bookmarkStart w:id="0" w:name="_Toc12497"/>
      <w:bookmarkStart w:id="1" w:name="_Toc213396759"/>
      <w:bookmarkStart w:id="2" w:name="_Toc213397009"/>
      <w:bookmarkStart w:id="3" w:name="_Toc217446031"/>
      <w:bookmarkStart w:id="4" w:name="_Toc213396945"/>
      <w:bookmarkStart w:id="5" w:name="_Toc213496267"/>
    </w:p>
    <w:p w14:paraId="303B3001">
      <w:pPr>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成都汽车职业技术学校</w:t>
      </w:r>
    </w:p>
    <w:p w14:paraId="7DC2CBFA">
      <w:pPr>
        <w:jc w:val="center"/>
        <w:rPr>
          <w:rFonts w:hint="eastAsia" w:ascii="宋体" w:hAnsi="宋体" w:eastAsia="宋体" w:cs="宋体"/>
          <w:color w:val="auto"/>
          <w:sz w:val="48"/>
          <w:szCs w:val="48"/>
          <w:highlight w:val="none"/>
        </w:rPr>
      </w:pPr>
      <w:r>
        <w:rPr>
          <w:rFonts w:hint="eastAsia" w:ascii="宋体" w:hAnsi="宋体" w:eastAsia="宋体" w:cs="宋体"/>
          <w:color w:val="auto"/>
          <w:sz w:val="44"/>
          <w:szCs w:val="44"/>
          <w:highlight w:val="none"/>
        </w:rPr>
        <w:t>2026年学生视力筛查服务采购项目</w:t>
      </w:r>
    </w:p>
    <w:p w14:paraId="35183666">
      <w:pPr>
        <w:rPr>
          <w:rFonts w:hint="eastAsia" w:ascii="宋体" w:hAnsi="宋体" w:eastAsia="宋体" w:cs="宋体"/>
          <w:color w:val="auto"/>
          <w:sz w:val="52"/>
          <w:szCs w:val="52"/>
          <w:highlight w:val="none"/>
        </w:rPr>
      </w:pPr>
    </w:p>
    <w:p w14:paraId="7CEBB534">
      <w:pPr>
        <w:jc w:val="center"/>
        <w:rPr>
          <w:rFonts w:hint="eastAsia" w:ascii="宋体" w:hAnsi="宋体" w:eastAsia="宋体" w:cs="宋体"/>
          <w:color w:val="auto"/>
          <w:sz w:val="44"/>
          <w:szCs w:val="44"/>
          <w:highlight w:val="none"/>
        </w:rPr>
      </w:pPr>
    </w:p>
    <w:p w14:paraId="79937709">
      <w:pPr>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比</w:t>
      </w:r>
    </w:p>
    <w:p w14:paraId="294A8AE2">
      <w:pPr>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选</w:t>
      </w:r>
    </w:p>
    <w:p w14:paraId="2BBEC842">
      <w:pPr>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文</w:t>
      </w:r>
    </w:p>
    <w:p w14:paraId="511562BE">
      <w:pPr>
        <w:jc w:val="center"/>
        <w:rPr>
          <w:rFonts w:hint="eastAsia" w:ascii="宋体" w:hAnsi="宋体" w:eastAsia="宋体" w:cs="宋体"/>
          <w:color w:val="auto"/>
          <w:sz w:val="52"/>
          <w:szCs w:val="52"/>
          <w:highlight w:val="none"/>
        </w:rPr>
      </w:pPr>
      <w:r>
        <w:rPr>
          <w:rFonts w:hint="eastAsia" w:ascii="宋体" w:hAnsi="宋体" w:eastAsia="宋体" w:cs="宋体"/>
          <w:color w:val="auto"/>
          <w:sz w:val="44"/>
          <w:szCs w:val="44"/>
          <w:highlight w:val="none"/>
        </w:rPr>
        <w:t>件</w:t>
      </w:r>
    </w:p>
    <w:p w14:paraId="3C79F9E7">
      <w:pPr>
        <w:spacing w:line="360" w:lineRule="auto"/>
        <w:rPr>
          <w:rFonts w:hint="eastAsia" w:ascii="宋体" w:hAnsi="宋体" w:eastAsia="宋体" w:cs="宋体"/>
          <w:color w:val="auto"/>
          <w:sz w:val="32"/>
          <w:szCs w:val="32"/>
          <w:highlight w:val="none"/>
        </w:rPr>
      </w:pPr>
    </w:p>
    <w:p w14:paraId="2E74D575">
      <w:pPr>
        <w:spacing w:line="360" w:lineRule="auto"/>
        <w:rPr>
          <w:rFonts w:hint="eastAsia" w:ascii="宋体" w:hAnsi="宋体" w:eastAsia="宋体" w:cs="宋体"/>
          <w:color w:val="auto"/>
          <w:sz w:val="32"/>
          <w:szCs w:val="32"/>
          <w:highlight w:val="none"/>
        </w:rPr>
      </w:pPr>
    </w:p>
    <w:p w14:paraId="532DA85E">
      <w:pPr>
        <w:spacing w:line="360" w:lineRule="auto"/>
        <w:rPr>
          <w:rFonts w:hint="eastAsia" w:ascii="宋体" w:hAnsi="宋体" w:eastAsia="宋体" w:cs="宋体"/>
          <w:color w:val="auto"/>
          <w:sz w:val="32"/>
          <w:szCs w:val="32"/>
          <w:highlight w:val="none"/>
        </w:rPr>
      </w:pPr>
    </w:p>
    <w:p w14:paraId="19A10733">
      <w:pPr>
        <w:spacing w:line="360" w:lineRule="auto"/>
        <w:rPr>
          <w:rFonts w:hint="eastAsia" w:ascii="宋体" w:hAnsi="宋体" w:eastAsia="宋体" w:cs="宋体"/>
          <w:color w:val="auto"/>
          <w:sz w:val="32"/>
          <w:szCs w:val="32"/>
          <w:highlight w:val="none"/>
        </w:rPr>
      </w:pPr>
    </w:p>
    <w:p w14:paraId="519DFC54">
      <w:pPr>
        <w:spacing w:line="360" w:lineRule="auto"/>
        <w:rPr>
          <w:rFonts w:hint="eastAsia" w:ascii="宋体" w:hAnsi="宋体" w:eastAsia="宋体" w:cs="宋体"/>
          <w:color w:val="auto"/>
          <w:sz w:val="32"/>
          <w:szCs w:val="32"/>
          <w:highlight w:val="none"/>
        </w:rPr>
      </w:pPr>
    </w:p>
    <w:p w14:paraId="34E60353">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成都汽车职业技术学校编制</w:t>
      </w:r>
    </w:p>
    <w:p w14:paraId="771A54B3">
      <w:pPr>
        <w:spacing w:line="360" w:lineRule="auto"/>
        <w:jc w:val="center"/>
        <w:rPr>
          <w:rFonts w:hint="eastAsia" w:ascii="宋体" w:hAnsi="宋体" w:eastAsia="宋体" w:cs="宋体"/>
          <w:color w:val="auto"/>
          <w:sz w:val="30"/>
          <w:szCs w:val="30"/>
          <w:highlight w:val="none"/>
        </w:rPr>
        <w:sectPr>
          <w:headerReference r:id="rId5" w:type="default"/>
          <w:footerReference r:id="rId6" w:type="default"/>
          <w:footerReference r:id="rId7" w:type="even"/>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sz w:val="30"/>
          <w:szCs w:val="30"/>
          <w:highlight w:val="none"/>
        </w:rPr>
        <w:t>2026年</w:t>
      </w:r>
      <w:r>
        <w:rPr>
          <w:rFonts w:hint="eastAsia" w:ascii="宋体" w:hAnsi="宋体" w:cs="宋体"/>
          <w:color w:val="auto"/>
          <w:sz w:val="30"/>
          <w:szCs w:val="30"/>
          <w:highlight w:val="none"/>
          <w:lang w:val="en-US" w:eastAsia="zh-CN"/>
        </w:rPr>
        <w:t>6</w:t>
      </w:r>
      <w:r>
        <w:rPr>
          <w:rFonts w:hint="eastAsia" w:ascii="宋体" w:hAnsi="宋体" w:eastAsia="宋体" w:cs="宋体"/>
          <w:color w:val="auto"/>
          <w:sz w:val="30"/>
          <w:szCs w:val="30"/>
          <w:highlight w:val="none"/>
        </w:rPr>
        <w:t>月</w:t>
      </w:r>
    </w:p>
    <w:p w14:paraId="48305728">
      <w:pPr>
        <w:spacing w:line="700" w:lineRule="exact"/>
        <w:jc w:val="center"/>
        <w:rPr>
          <w:rFonts w:hint="eastAsia" w:ascii="宋体" w:hAnsi="宋体" w:eastAsia="宋体" w:cs="宋体"/>
          <w:bCs/>
          <w:color w:val="auto"/>
          <w:sz w:val="44"/>
          <w:szCs w:val="44"/>
          <w:highlight w:val="none"/>
        </w:rPr>
      </w:pPr>
      <w:bookmarkStart w:id="6" w:name="_Hlt101843627"/>
      <w:bookmarkEnd w:id="6"/>
      <w:bookmarkStart w:id="7" w:name="_Hlt101233737"/>
      <w:bookmarkEnd w:id="7"/>
      <w:r>
        <w:rPr>
          <w:rFonts w:hint="eastAsia" w:ascii="宋体" w:hAnsi="宋体" w:eastAsia="宋体" w:cs="宋体"/>
          <w:bCs/>
          <w:color w:val="auto"/>
          <w:sz w:val="44"/>
          <w:szCs w:val="44"/>
          <w:highlight w:val="none"/>
        </w:rPr>
        <w:t>目录</w:t>
      </w:r>
    </w:p>
    <w:p w14:paraId="018C6464">
      <w:pPr>
        <w:jc w:val="center"/>
        <w:rPr>
          <w:rFonts w:hint="eastAsia" w:ascii="宋体" w:hAnsi="宋体" w:eastAsia="宋体" w:cs="宋体"/>
          <w:b/>
          <w:bCs/>
          <w:color w:val="auto"/>
          <w:sz w:val="36"/>
          <w:szCs w:val="36"/>
          <w:highlight w:val="none"/>
        </w:rPr>
      </w:pPr>
    </w:p>
    <w:p w14:paraId="01F3EF0E">
      <w:pPr>
        <w:pStyle w:val="21"/>
        <w:tabs>
          <w:tab w:val="right" w:leader="dot" w:pos="8959"/>
        </w:tabs>
        <w:rPr>
          <w:rFonts w:hint="eastAsia" w:ascii="宋体" w:hAnsi="宋体" w:cs="宋体"/>
          <w:color w:val="auto"/>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"1-1" \h \u </w:instrText>
      </w:r>
      <w:r>
        <w:rPr>
          <w:rFonts w:hint="eastAsia" w:ascii="宋体" w:hAnsi="宋体" w:eastAsia="宋体" w:cs="宋体"/>
          <w:color w:val="auto"/>
          <w:sz w:val="28"/>
          <w:szCs w:val="28"/>
          <w:highlight w:val="none"/>
        </w:rPr>
        <w:fldChar w:fldCharType="separate"/>
      </w: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"_Toc19653" </w:instrText>
      </w:r>
      <w:r>
        <w:rPr>
          <w:rFonts w:hint="eastAsia" w:ascii="宋体" w:hAnsi="宋体" w:cs="宋体"/>
          <w:color w:val="auto"/>
          <w:highlight w:val="none"/>
        </w:rPr>
        <w:fldChar w:fldCharType="separate"/>
      </w:r>
      <w:r>
        <w:rPr>
          <w:rFonts w:hint="eastAsia" w:ascii="宋体" w:hAnsi="宋体" w:eastAsia="宋体" w:cs="宋体"/>
          <w:color w:val="auto"/>
          <w:highlight w:val="none"/>
        </w:rPr>
        <w:t>第一章比选公告</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_Toc19653 \h </w:instrText>
      </w:r>
      <w:r>
        <w:rPr>
          <w:rFonts w:hint="eastAsia" w:ascii="宋体" w:hAnsi="宋体" w:cs="宋体"/>
          <w:color w:val="auto"/>
          <w:highlight w:val="none"/>
        </w:rPr>
        <w:fldChar w:fldCharType="separate"/>
      </w:r>
      <w:r>
        <w:rPr>
          <w:rFonts w:hint="eastAsia" w:ascii="宋体" w:hAnsi="宋体" w:cs="宋体"/>
          <w:color w:val="auto"/>
          <w:highlight w:val="none"/>
        </w:rPr>
        <w:t>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6268B56">
      <w:pPr>
        <w:pStyle w:val="21"/>
        <w:tabs>
          <w:tab w:val="right" w:leader="dot" w:pos="8959"/>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"_Toc5696" </w:instrText>
      </w:r>
      <w:r>
        <w:rPr>
          <w:rFonts w:hint="eastAsia" w:ascii="宋体" w:hAnsi="宋体" w:cs="宋体"/>
          <w:color w:val="auto"/>
          <w:highlight w:val="none"/>
        </w:rPr>
        <w:fldChar w:fldCharType="separate"/>
      </w:r>
      <w:r>
        <w:rPr>
          <w:rFonts w:hint="eastAsia" w:ascii="宋体" w:hAnsi="宋体" w:eastAsia="宋体" w:cs="宋体"/>
          <w:color w:val="auto"/>
          <w:highlight w:val="none"/>
        </w:rPr>
        <w:t>第二章投标人须知</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_Toc5696 \h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FBC1768">
      <w:pPr>
        <w:pStyle w:val="21"/>
        <w:tabs>
          <w:tab w:val="right" w:leader="dot" w:pos="8959"/>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"_Toc3081" </w:instrText>
      </w:r>
      <w:r>
        <w:rPr>
          <w:rFonts w:hint="eastAsia" w:ascii="宋体" w:hAnsi="宋体" w:cs="宋体"/>
          <w:color w:val="auto"/>
          <w:highlight w:val="none"/>
        </w:rPr>
        <w:fldChar w:fldCharType="separate"/>
      </w:r>
      <w:r>
        <w:rPr>
          <w:rFonts w:hint="eastAsia" w:ascii="宋体" w:hAnsi="宋体" w:eastAsia="宋体" w:cs="宋体"/>
          <w:color w:val="auto"/>
          <w:highlight w:val="none"/>
        </w:rPr>
        <w:t>第三章投标文件格式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_Toc3081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DDA9B9D">
      <w:pPr>
        <w:pStyle w:val="21"/>
        <w:tabs>
          <w:tab w:val="right" w:leader="dot" w:pos="8959"/>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"_Toc18544" </w:instrText>
      </w:r>
      <w:r>
        <w:rPr>
          <w:rFonts w:hint="eastAsia" w:ascii="宋体" w:hAnsi="宋体" w:cs="宋体"/>
          <w:color w:val="auto"/>
          <w:highlight w:val="none"/>
        </w:rPr>
        <w:fldChar w:fldCharType="separate"/>
      </w:r>
      <w:r>
        <w:rPr>
          <w:rFonts w:hint="eastAsia" w:ascii="宋体" w:hAnsi="宋体" w:eastAsia="宋体" w:cs="宋体"/>
          <w:color w:val="auto"/>
          <w:highlight w:val="none"/>
        </w:rPr>
        <w:t>第四章资格审查</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_Toc18544 \h </w:instrText>
      </w:r>
      <w:r>
        <w:rPr>
          <w:rFonts w:hint="eastAsia" w:ascii="宋体" w:hAnsi="宋体" w:cs="宋体"/>
          <w:color w:val="auto"/>
          <w:highlight w:val="none"/>
        </w:rPr>
        <w:fldChar w:fldCharType="separate"/>
      </w:r>
      <w:r>
        <w:rPr>
          <w:rFonts w:hint="eastAsia" w:ascii="宋体" w:hAnsi="宋体" w:cs="宋体"/>
          <w:color w:val="auto"/>
          <w:highlight w:val="none"/>
        </w:rPr>
        <w:t>26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690A490">
      <w:pPr>
        <w:spacing w:line="480" w:lineRule="auto"/>
        <w:rPr>
          <w:rFonts w:hint="eastAsia" w:ascii="宋体" w:hAnsi="宋体" w:eastAsia="宋体" w:cs="宋体"/>
          <w:color w:val="auto"/>
          <w:sz w:val="28"/>
          <w:szCs w:val="28"/>
          <w:highlight w:val="none"/>
        </w:rPr>
        <w:sectPr>
          <w:pgSz w:w="11907" w:h="16840"/>
          <w:pgMar w:top="1440" w:right="1474" w:bottom="1440" w:left="1474" w:header="851" w:footer="992" w:gutter="0"/>
          <w:cols w:space="720" w:num="1"/>
          <w:docGrid w:linePitch="312" w:charSpace="0"/>
        </w:sectPr>
      </w:pPr>
      <w:r>
        <w:rPr>
          <w:rFonts w:hint="eastAsia" w:ascii="宋体" w:hAnsi="宋体" w:eastAsia="宋体" w:cs="宋体"/>
          <w:color w:val="auto"/>
          <w:szCs w:val="28"/>
          <w:highlight w:val="none"/>
        </w:rPr>
        <w:fldChar w:fldCharType="end"/>
      </w:r>
      <w:bookmarkStart w:id="8" w:name="_Toc24584"/>
    </w:p>
    <w:bookmarkEnd w:id="8"/>
    <w:p w14:paraId="7605E992">
      <w:pPr>
        <w:pStyle w:val="4"/>
        <w:spacing w:line="700" w:lineRule="exact"/>
        <w:jc w:val="center"/>
        <w:rPr>
          <w:rFonts w:hint="eastAsia" w:ascii="宋体" w:hAnsi="宋体" w:eastAsia="宋体" w:cs="宋体"/>
          <w:b w:val="0"/>
          <w:color w:val="auto"/>
          <w:highlight w:val="none"/>
        </w:rPr>
      </w:pPr>
      <w:bookmarkStart w:id="9" w:name="_Toc19653"/>
      <w:r>
        <w:rPr>
          <w:rFonts w:hint="eastAsia" w:ascii="宋体" w:hAnsi="宋体" w:eastAsia="宋体" w:cs="宋体"/>
          <w:b w:val="0"/>
          <w:color w:val="auto"/>
          <w:highlight w:val="none"/>
        </w:rPr>
        <w:t>第一章比选公告</w:t>
      </w:r>
      <w:bookmarkEnd w:id="9"/>
    </w:p>
    <w:p w14:paraId="5BDE8E42">
      <w:pPr>
        <w:spacing w:line="360" w:lineRule="auto"/>
        <w:ind w:firstLine="480" w:firstLineChars="200"/>
        <w:rPr>
          <w:rFonts w:hint="eastAsia" w:ascii="宋体" w:hAnsi="宋体" w:cs="宋体"/>
          <w:b/>
          <w:color w:val="auto"/>
          <w:sz w:val="24"/>
          <w:highlight w:val="none"/>
        </w:rPr>
      </w:pPr>
      <w:r>
        <w:rPr>
          <w:rFonts w:hint="eastAsia" w:ascii="宋体" w:hAnsi="宋体" w:cs="宋体"/>
          <w:color w:val="auto"/>
          <w:sz w:val="24"/>
          <w:highlight w:val="none"/>
          <w:u w:val="single"/>
        </w:rPr>
        <w:t>成都汽车职业技术学校</w:t>
      </w:r>
      <w:r>
        <w:rPr>
          <w:rFonts w:hint="eastAsia" w:ascii="宋体" w:hAnsi="宋体" w:cs="宋体"/>
          <w:color w:val="auto"/>
          <w:sz w:val="24"/>
          <w:highlight w:val="none"/>
        </w:rPr>
        <w:t>拟对</w:t>
      </w:r>
      <w:r>
        <w:rPr>
          <w:rFonts w:hint="eastAsia" w:ascii="宋体" w:hAnsi="宋体" w:cs="宋体"/>
          <w:color w:val="auto"/>
          <w:sz w:val="24"/>
          <w:highlight w:val="none"/>
          <w:u w:val="single"/>
          <w:lang w:eastAsia="zh-CN"/>
        </w:rPr>
        <w:t>2026年学生视力筛查服务采购项目比选</w:t>
      </w:r>
      <w:r>
        <w:rPr>
          <w:rFonts w:hint="eastAsia" w:ascii="宋体" w:hAnsi="宋体" w:cs="宋体"/>
          <w:color w:val="auto"/>
          <w:sz w:val="24"/>
          <w:highlight w:val="none"/>
        </w:rPr>
        <w:t>进行比选。兹邀请符合本次比选条件的比选申请人参加。</w:t>
      </w:r>
    </w:p>
    <w:p w14:paraId="04045C83">
      <w:pPr>
        <w:spacing w:line="360" w:lineRule="auto"/>
        <w:ind w:firstLine="482" w:firstLineChars="200"/>
        <w:rPr>
          <w:rFonts w:hint="eastAsia" w:ascii="宋体" w:hAnsi="宋体" w:eastAsia="宋体" w:cs="宋体"/>
          <w:color w:val="auto"/>
          <w:sz w:val="24"/>
          <w:highlight w:val="none"/>
          <w:u w:val="single"/>
          <w:lang w:eastAsia="zh-CN"/>
        </w:rPr>
      </w:pPr>
      <w:r>
        <w:rPr>
          <w:rFonts w:hint="eastAsia" w:ascii="宋体" w:hAnsi="宋体" w:cs="宋体"/>
          <w:b/>
          <w:color w:val="auto"/>
          <w:sz w:val="24"/>
          <w:highlight w:val="none"/>
        </w:rPr>
        <w:t>一、项目名称：</w:t>
      </w:r>
      <w:r>
        <w:rPr>
          <w:rFonts w:hint="eastAsia" w:ascii="宋体" w:hAnsi="宋体" w:cs="宋体"/>
          <w:b/>
          <w:color w:val="auto"/>
          <w:sz w:val="24"/>
          <w:highlight w:val="none"/>
          <w:u w:val="single"/>
          <w:lang w:eastAsia="zh-CN"/>
        </w:rPr>
        <w:t>成都汽车职业技术学校2026年学生视力筛查服务采购项目</w:t>
      </w:r>
    </w:p>
    <w:p w14:paraId="365DBB99">
      <w:pPr>
        <w:spacing w:line="360" w:lineRule="auto"/>
        <w:ind w:firstLine="482" w:firstLineChars="200"/>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rPr>
        <w:t>二、项目编号：QCZX-XSC-2026060</w:t>
      </w:r>
      <w:r>
        <w:rPr>
          <w:rFonts w:hint="eastAsia" w:ascii="宋体" w:hAnsi="宋体" w:cs="宋体"/>
          <w:b/>
          <w:color w:val="auto"/>
          <w:sz w:val="24"/>
          <w:highlight w:val="none"/>
          <w:lang w:val="en-US" w:eastAsia="zh-CN"/>
        </w:rPr>
        <w:t>4</w:t>
      </w:r>
    </w:p>
    <w:p w14:paraId="44F2A44A">
      <w:p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三、比选申请人参加本次比选活动应具备下列条件：</w:t>
      </w:r>
    </w:p>
    <w:p w14:paraId="33BCEBE1">
      <w:pPr>
        <w:pStyle w:val="42"/>
        <w:keepNext w:val="0"/>
        <w:keepLines w:val="0"/>
        <w:pageBreakBefore w:val="0"/>
        <w:widowControl w:val="0"/>
        <w:kinsoku/>
        <w:wordWrap/>
        <w:overflowPunct/>
        <w:topLinePunct w:val="0"/>
        <w:autoSpaceDE/>
        <w:autoSpaceDN/>
        <w:bidi w:val="0"/>
        <w:adjustRightInd w:val="0"/>
        <w:snapToGrid/>
        <w:spacing w:line="400" w:lineRule="exact"/>
        <w:ind w:firstLine="480"/>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1.具有独立承担民事责任的能力；</w:t>
      </w:r>
    </w:p>
    <w:p w14:paraId="12357D75">
      <w:pPr>
        <w:pStyle w:val="42"/>
        <w:keepNext w:val="0"/>
        <w:keepLines w:val="0"/>
        <w:pageBreakBefore w:val="0"/>
        <w:widowControl w:val="0"/>
        <w:kinsoku/>
        <w:wordWrap/>
        <w:overflowPunct/>
        <w:topLinePunct w:val="0"/>
        <w:autoSpaceDE/>
        <w:autoSpaceDN/>
        <w:bidi w:val="0"/>
        <w:adjustRightInd w:val="0"/>
        <w:snapToGrid/>
        <w:spacing w:line="400" w:lineRule="exact"/>
        <w:ind w:firstLine="480"/>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2.具有良好的商业信誉和健全的财务会计制度；</w:t>
      </w:r>
    </w:p>
    <w:p w14:paraId="378C3257">
      <w:pPr>
        <w:pStyle w:val="42"/>
        <w:keepNext w:val="0"/>
        <w:keepLines w:val="0"/>
        <w:pageBreakBefore w:val="0"/>
        <w:widowControl w:val="0"/>
        <w:kinsoku/>
        <w:wordWrap/>
        <w:overflowPunct/>
        <w:topLinePunct w:val="0"/>
        <w:autoSpaceDE/>
        <w:autoSpaceDN/>
        <w:bidi w:val="0"/>
        <w:adjustRightInd w:val="0"/>
        <w:snapToGrid/>
        <w:spacing w:line="400" w:lineRule="exact"/>
        <w:ind w:firstLine="480"/>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3.具有履行合同所必需的设备和专业技术能力；</w:t>
      </w:r>
    </w:p>
    <w:p w14:paraId="03FFE1D5">
      <w:pPr>
        <w:pStyle w:val="42"/>
        <w:keepNext w:val="0"/>
        <w:keepLines w:val="0"/>
        <w:pageBreakBefore w:val="0"/>
        <w:widowControl w:val="0"/>
        <w:kinsoku/>
        <w:wordWrap/>
        <w:overflowPunct/>
        <w:topLinePunct w:val="0"/>
        <w:autoSpaceDE/>
        <w:autoSpaceDN/>
        <w:bidi w:val="0"/>
        <w:adjustRightInd w:val="0"/>
        <w:snapToGrid/>
        <w:spacing w:line="400" w:lineRule="exact"/>
        <w:ind w:firstLine="480"/>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4.具有依法缴纳税收和社会保障资金的良好记录；</w:t>
      </w:r>
    </w:p>
    <w:p w14:paraId="63237957">
      <w:pPr>
        <w:pStyle w:val="42"/>
        <w:keepNext w:val="0"/>
        <w:keepLines w:val="0"/>
        <w:pageBreakBefore w:val="0"/>
        <w:widowControl w:val="0"/>
        <w:kinsoku/>
        <w:wordWrap/>
        <w:overflowPunct/>
        <w:topLinePunct w:val="0"/>
        <w:autoSpaceDE/>
        <w:autoSpaceDN/>
        <w:bidi w:val="0"/>
        <w:adjustRightInd w:val="0"/>
        <w:snapToGrid/>
        <w:spacing w:line="400" w:lineRule="exact"/>
        <w:ind w:firstLine="480"/>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5.参加本次采购活动前三年内，在经营活动中没有重大违法记录；</w:t>
      </w:r>
    </w:p>
    <w:p w14:paraId="10764029">
      <w:pPr>
        <w:pStyle w:val="42"/>
        <w:keepNext w:val="0"/>
        <w:keepLines w:val="0"/>
        <w:pageBreakBefore w:val="0"/>
        <w:widowControl w:val="0"/>
        <w:kinsoku/>
        <w:wordWrap/>
        <w:overflowPunct/>
        <w:topLinePunct w:val="0"/>
        <w:autoSpaceDE/>
        <w:autoSpaceDN/>
        <w:bidi w:val="0"/>
        <w:adjustRightInd w:val="0"/>
        <w:snapToGrid/>
        <w:spacing w:line="400" w:lineRule="exact"/>
        <w:ind w:firstLine="480"/>
        <w:textAlignment w:val="baseline"/>
        <w:rPr>
          <w:rFonts w:hint="eastAsia" w:ascii="宋体" w:hAnsi="宋体" w:cs="宋体"/>
          <w:color w:val="auto"/>
          <w:sz w:val="24"/>
          <w:szCs w:val="24"/>
          <w:highlight w:val="none"/>
        </w:rPr>
      </w:pPr>
      <w:r>
        <w:rPr>
          <w:rFonts w:hint="eastAsia" w:ascii="宋体" w:hAnsi="宋体" w:cs="宋体"/>
          <w:color w:val="auto"/>
          <w:sz w:val="24"/>
          <w:szCs w:val="24"/>
          <w:highlight w:val="none"/>
        </w:rPr>
        <w:t>6.法律、行政法规规定的其他条件；</w:t>
      </w:r>
    </w:p>
    <w:p w14:paraId="2CD01469">
      <w:pPr>
        <w:pStyle w:val="42"/>
        <w:keepNext w:val="0"/>
        <w:keepLines w:val="0"/>
        <w:pageBreakBefore w:val="0"/>
        <w:widowControl w:val="0"/>
        <w:kinsoku/>
        <w:wordWrap/>
        <w:overflowPunct/>
        <w:topLinePunct w:val="0"/>
        <w:autoSpaceDE/>
        <w:autoSpaceDN/>
        <w:bidi w:val="0"/>
        <w:adjustRightInd w:val="0"/>
        <w:snapToGrid/>
        <w:spacing w:line="400" w:lineRule="exact"/>
        <w:ind w:firstLine="480"/>
        <w:textAlignment w:val="baseline"/>
        <w:rPr>
          <w:rFonts w:hint="eastAsia" w:hAnsi="宋体" w:cs="宋体"/>
          <w:snapToGrid w:val="0"/>
          <w:color w:val="auto"/>
          <w:sz w:val="24"/>
          <w:szCs w:val="24"/>
          <w:highlight w:val="none"/>
          <w:lang w:val="en-US" w:eastAsia="zh-CN"/>
        </w:rPr>
      </w:pPr>
      <w:r>
        <w:rPr>
          <w:rFonts w:hint="eastAsia" w:ascii="宋体" w:hAnsi="宋体" w:cs="宋体"/>
          <w:color w:val="auto"/>
          <w:sz w:val="24"/>
          <w:szCs w:val="24"/>
          <w:highlight w:val="none"/>
        </w:rPr>
        <w:t>7.根据采购项目提出的特殊条件。</w:t>
      </w:r>
      <w:r>
        <w:rPr>
          <w:rFonts w:hint="eastAsia" w:hAnsi="宋体" w:cs="宋体"/>
          <w:snapToGrid w:val="0"/>
          <w:color w:val="auto"/>
          <w:sz w:val="24"/>
          <w:szCs w:val="24"/>
          <w:highlight w:val="none"/>
          <w:lang w:val="en-US" w:eastAsia="zh-CN"/>
        </w:rPr>
        <w:t>供应商须具有合法有效的《医疗机构执业许可证》或《诊所备案凭证》【提供资质证书复印件并加盖公章】</w:t>
      </w:r>
    </w:p>
    <w:p w14:paraId="0C556346">
      <w:pPr>
        <w:pStyle w:val="42"/>
        <w:ind w:firstLine="482"/>
        <w:rPr>
          <w:rFonts w:hint="eastAsia" w:ascii="宋体" w:hAnsi="宋体" w:cs="宋体"/>
          <w:b/>
          <w:snapToGrid w:val="0"/>
          <w:color w:val="auto"/>
          <w:sz w:val="24"/>
          <w:szCs w:val="24"/>
          <w:highlight w:val="none"/>
        </w:rPr>
      </w:pPr>
      <w:r>
        <w:rPr>
          <w:rFonts w:hint="eastAsia" w:ascii="宋体" w:hAnsi="宋体" w:cs="宋体"/>
          <w:b/>
          <w:snapToGrid w:val="0"/>
          <w:color w:val="auto"/>
          <w:sz w:val="24"/>
          <w:szCs w:val="24"/>
          <w:highlight w:val="none"/>
        </w:rPr>
        <w:t>四、比选文件发售方式：</w:t>
      </w:r>
    </w:p>
    <w:p w14:paraId="42CE3C70">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比选文件详见公告下方附件。</w:t>
      </w:r>
    </w:p>
    <w:p w14:paraId="7CF15D84">
      <w:pPr>
        <w:pStyle w:val="42"/>
        <w:ind w:firstLine="482"/>
        <w:rPr>
          <w:rFonts w:hint="eastAsia" w:ascii="宋体" w:hAnsi="宋体" w:cs="宋体"/>
          <w:b/>
          <w:snapToGrid w:val="0"/>
          <w:color w:val="auto"/>
          <w:sz w:val="24"/>
          <w:szCs w:val="24"/>
          <w:highlight w:val="none"/>
        </w:rPr>
      </w:pPr>
      <w:r>
        <w:rPr>
          <w:rFonts w:hint="eastAsia" w:ascii="宋体" w:hAnsi="宋体" w:cs="宋体"/>
          <w:b/>
          <w:snapToGrid w:val="0"/>
          <w:color w:val="auto"/>
          <w:sz w:val="24"/>
          <w:szCs w:val="24"/>
          <w:highlight w:val="none"/>
        </w:rPr>
        <w:t>五、比选申请文件提交方式及截止时间：</w:t>
      </w:r>
    </w:p>
    <w:p w14:paraId="529D8012">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（一）比选申请文件格式要求：</w:t>
      </w:r>
      <w:r>
        <w:rPr>
          <w:rFonts w:hint="eastAsia" w:ascii="宋体" w:hAnsi="宋体" w:cs="宋体"/>
          <w:b/>
          <w:bCs/>
          <w:color w:val="auto"/>
          <w:sz w:val="24"/>
          <w:highlight w:val="none"/>
        </w:rPr>
        <w:t>盖章密封纸质版文件</w:t>
      </w:r>
    </w:p>
    <w:p w14:paraId="7F471AC3">
      <w:pPr>
        <w:tabs>
          <w:tab w:val="left" w:pos="1095"/>
        </w:tabs>
        <w:spacing w:line="400" w:lineRule="exact"/>
        <w:ind w:firstLine="460" w:firstLineChars="192"/>
        <w:rPr>
          <w:rFonts w:hint="eastAsia" w:ascii="宋体" w:hAnsi="宋体" w:cs="宋体"/>
          <w:color w:val="auto"/>
          <w:sz w:val="24"/>
          <w:highlight w:val="none"/>
        </w:rPr>
      </w:pPr>
      <w:r>
        <w:rPr>
          <w:rFonts w:hint="eastAsia" w:ascii="宋体" w:hAnsi="宋体" w:cs="宋体"/>
          <w:bCs/>
          <w:color w:val="auto"/>
          <w:sz w:val="24"/>
          <w:highlight w:val="none"/>
        </w:rPr>
        <w:t>1.响应文件的打印和书写应清楚工整，任何行间插字、涂改或增删，必须由供应商的法定代表人或其授权代表签字并加盖供应商公章。</w:t>
      </w:r>
    </w:p>
    <w:p w14:paraId="65DA9E14">
      <w:pPr>
        <w:tabs>
          <w:tab w:val="left" w:pos="1095"/>
        </w:tabs>
        <w:spacing w:line="400" w:lineRule="exact"/>
        <w:ind w:firstLine="460" w:firstLineChars="192"/>
        <w:rPr>
          <w:rFonts w:hint="eastAsia" w:ascii="宋体" w:hAnsi="宋体" w:cs="宋体"/>
          <w:color w:val="auto"/>
          <w:sz w:val="24"/>
          <w:highlight w:val="none"/>
        </w:rPr>
      </w:pPr>
      <w:r>
        <w:rPr>
          <w:rFonts w:hint="eastAsia" w:ascii="宋体" w:hAnsi="宋体" w:cs="宋体"/>
          <w:bCs/>
          <w:color w:val="auto"/>
          <w:sz w:val="24"/>
          <w:highlight w:val="none"/>
        </w:rPr>
        <w:t>2.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14:paraId="0EEF4D32">
      <w:pPr>
        <w:tabs>
          <w:tab w:val="left" w:pos="1080"/>
        </w:tabs>
        <w:spacing w:line="400" w:lineRule="exact"/>
        <w:ind w:firstLine="460" w:firstLineChars="192"/>
        <w:rPr>
          <w:rFonts w:hint="eastAsia" w:ascii="宋体" w:hAnsi="宋体" w:cs="宋体"/>
          <w:color w:val="auto"/>
          <w:sz w:val="24"/>
          <w:highlight w:val="none"/>
        </w:rPr>
      </w:pPr>
      <w:r>
        <w:rPr>
          <w:rFonts w:hint="eastAsia" w:ascii="宋体" w:hAnsi="宋体" w:cs="宋体"/>
          <w:color w:val="auto"/>
          <w:sz w:val="24"/>
          <w:highlight w:val="none"/>
        </w:rPr>
        <w:t>3.响应文件应当采用胶装方式装订成册，不得散装或者合页装订。</w:t>
      </w:r>
    </w:p>
    <w:p w14:paraId="0D71282C">
      <w:pPr>
        <w:tabs>
          <w:tab w:val="left" w:pos="1080"/>
        </w:tabs>
        <w:spacing w:line="400" w:lineRule="exact"/>
        <w:ind w:firstLine="460" w:firstLineChars="192"/>
        <w:rPr>
          <w:rFonts w:hint="eastAsia" w:ascii="宋体" w:hAnsi="宋体" w:cs="宋体"/>
          <w:color w:val="auto"/>
          <w:sz w:val="24"/>
          <w:highlight w:val="none"/>
        </w:rPr>
      </w:pPr>
      <w:r>
        <w:rPr>
          <w:rFonts w:hint="eastAsia" w:ascii="宋体" w:hAnsi="宋体" w:cs="宋体"/>
          <w:color w:val="auto"/>
          <w:sz w:val="24"/>
          <w:highlight w:val="none"/>
        </w:rPr>
        <w:t>4.响应文件正本和副本应当采用胶装方式装订成册，不得散装或者合页装订。</w:t>
      </w:r>
    </w:p>
    <w:p w14:paraId="491ECB84">
      <w:pPr>
        <w:tabs>
          <w:tab w:val="left" w:pos="1080"/>
        </w:tabs>
        <w:spacing w:line="400" w:lineRule="exact"/>
        <w:ind w:firstLine="460" w:firstLineChars="192"/>
        <w:rPr>
          <w:rFonts w:hint="eastAsia" w:ascii="宋体" w:hAnsi="宋体" w:cs="宋体"/>
          <w:color w:val="auto"/>
          <w:sz w:val="24"/>
          <w:highlight w:val="none"/>
        </w:rPr>
      </w:pPr>
      <w:r>
        <w:rPr>
          <w:rFonts w:hint="eastAsia" w:ascii="宋体" w:hAnsi="宋体" w:cs="宋体"/>
          <w:color w:val="auto"/>
          <w:sz w:val="24"/>
          <w:highlight w:val="none"/>
        </w:rPr>
        <w:t>5.响应文件统一用A4幅面纸印制，除另有规定外。</w:t>
      </w:r>
    </w:p>
    <w:p w14:paraId="3D727540">
      <w:pPr>
        <w:tabs>
          <w:tab w:val="left" w:pos="1080"/>
        </w:tabs>
        <w:spacing w:line="400" w:lineRule="exact"/>
        <w:ind w:firstLine="460" w:firstLineChars="192"/>
        <w:rPr>
          <w:rFonts w:hint="eastAsia" w:ascii="宋体" w:hAnsi="宋体" w:cs="宋体"/>
          <w:color w:val="auto"/>
          <w:sz w:val="24"/>
          <w:highlight w:val="none"/>
        </w:rPr>
      </w:pPr>
      <w:r>
        <w:rPr>
          <w:rFonts w:hint="eastAsia" w:ascii="宋体" w:hAnsi="宋体" w:cs="宋体"/>
          <w:color w:val="auto"/>
          <w:sz w:val="24"/>
          <w:highlight w:val="none"/>
        </w:rPr>
        <w:t>6.响应文件可以单独密封包装，也可以所有响应文件密封包装在一个密封袋内。</w:t>
      </w:r>
    </w:p>
    <w:p w14:paraId="6B08DA1C">
      <w:pPr>
        <w:tabs>
          <w:tab w:val="left" w:pos="1080"/>
        </w:tabs>
        <w:spacing w:line="400" w:lineRule="exact"/>
        <w:ind w:firstLine="460" w:firstLineChars="192"/>
        <w:rPr>
          <w:rFonts w:hint="eastAsia" w:ascii="宋体" w:hAnsi="宋体" w:cs="宋体"/>
          <w:color w:val="auto"/>
          <w:sz w:val="24"/>
          <w:highlight w:val="none"/>
        </w:rPr>
      </w:pPr>
      <w:r>
        <w:rPr>
          <w:rFonts w:hint="eastAsia" w:ascii="宋体" w:hAnsi="宋体" w:cs="宋体"/>
          <w:color w:val="auto"/>
          <w:sz w:val="24"/>
          <w:highlight w:val="none"/>
        </w:rPr>
        <w:t>7.响应文件密封袋的最外层应清楚地标明采购项目名称、采购项目编号、包件号及名称（若有）、供应商名称。</w:t>
      </w:r>
    </w:p>
    <w:p w14:paraId="4DA45769">
      <w:pPr>
        <w:tabs>
          <w:tab w:val="left" w:pos="1080"/>
        </w:tabs>
        <w:spacing w:line="400" w:lineRule="exact"/>
        <w:ind w:firstLine="460" w:firstLineChars="192"/>
        <w:rPr>
          <w:rFonts w:hint="eastAsia" w:ascii="宋体" w:hAnsi="宋体" w:cs="宋体"/>
          <w:color w:val="auto"/>
          <w:sz w:val="24"/>
          <w:highlight w:val="none"/>
        </w:rPr>
      </w:pPr>
      <w:r>
        <w:rPr>
          <w:rFonts w:hint="eastAsia" w:ascii="宋体" w:hAnsi="宋体" w:cs="宋体"/>
          <w:color w:val="auto"/>
          <w:sz w:val="24"/>
          <w:highlight w:val="none"/>
        </w:rPr>
        <w:t>8.所有外层密封袋的封口处应粘贴牢固。</w:t>
      </w:r>
    </w:p>
    <w:p w14:paraId="5F3A8DC3">
      <w:pPr>
        <w:tabs>
          <w:tab w:val="left" w:pos="1080"/>
        </w:tabs>
        <w:spacing w:line="400" w:lineRule="exact"/>
        <w:ind w:firstLine="460" w:firstLineChars="192"/>
        <w:rPr>
          <w:rFonts w:hint="eastAsia" w:ascii="宋体" w:hAnsi="宋体" w:cs="宋体"/>
          <w:color w:val="auto"/>
          <w:sz w:val="24"/>
          <w:highlight w:val="none"/>
        </w:rPr>
      </w:pPr>
      <w:r>
        <w:rPr>
          <w:rFonts w:hint="eastAsia" w:ascii="宋体" w:hAnsi="宋体" w:cs="宋体"/>
          <w:color w:val="auto"/>
          <w:sz w:val="24"/>
          <w:highlight w:val="none"/>
        </w:rPr>
        <w:t>9.未按以上要求进行密封和标注的响应文件，采购人将拒收或者在时间允许的范围内，要求修改完善后接收。</w:t>
      </w:r>
    </w:p>
    <w:p w14:paraId="68126CE7">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（二）递交地址：</w:t>
      </w:r>
      <w:r>
        <w:rPr>
          <w:rFonts w:hint="eastAsia" w:ascii="宋体" w:hAnsi="宋体" w:cs="宋体"/>
          <w:b/>
          <w:bCs/>
          <w:color w:val="auto"/>
          <w:sz w:val="24"/>
          <w:highlight w:val="none"/>
        </w:rPr>
        <w:t>成都汽车职业技术学校（成都市龙泉驿区幸福路388号）</w:t>
      </w:r>
      <w:r>
        <w:rPr>
          <w:rFonts w:hint="eastAsia" w:ascii="宋体" w:hAnsi="宋体" w:cs="宋体"/>
          <w:b/>
          <w:bCs/>
          <w:color w:val="auto"/>
          <w:sz w:val="24"/>
          <w:highlight w:val="none"/>
          <w:lang w:val="en-US" w:eastAsia="zh-CN"/>
        </w:rPr>
        <w:t>学生处</w:t>
      </w:r>
      <w:r>
        <w:rPr>
          <w:rFonts w:hint="eastAsia" w:ascii="宋体" w:hAnsi="宋体" w:cs="宋体"/>
          <w:b/>
          <w:bCs/>
          <w:color w:val="auto"/>
          <w:sz w:val="24"/>
          <w:highlight w:val="none"/>
        </w:rPr>
        <w:t>（综合楼</w:t>
      </w:r>
      <w:r>
        <w:rPr>
          <w:rFonts w:hint="eastAsia" w:ascii="宋体" w:hAnsi="宋体" w:cs="宋体"/>
          <w:b/>
          <w:bCs/>
          <w:color w:val="auto"/>
          <w:sz w:val="24"/>
          <w:highlight w:val="none"/>
          <w:lang w:val="en-US" w:eastAsia="zh-CN"/>
        </w:rPr>
        <w:t>1</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rPr>
        <w:t>2）</w:t>
      </w:r>
    </w:p>
    <w:p w14:paraId="25E8D22E">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（三）递交截止时间：</w:t>
      </w:r>
      <w:r>
        <w:rPr>
          <w:rFonts w:hint="eastAsia" w:ascii="宋体" w:hAnsi="宋体" w:cs="宋体"/>
          <w:b/>
          <w:color w:val="auto"/>
          <w:sz w:val="24"/>
          <w:highlight w:val="none"/>
        </w:rPr>
        <w:t>北京时间</w:t>
      </w:r>
      <w:r>
        <w:rPr>
          <w:rFonts w:hint="eastAsia" w:ascii="宋体" w:hAnsi="宋体" w:cs="宋体"/>
          <w:b/>
          <w:bCs/>
          <w:color w:val="auto"/>
          <w:sz w:val="24"/>
          <w:highlight w:val="none"/>
        </w:rPr>
        <w:t>2026年</w:t>
      </w: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月</w:t>
      </w:r>
      <w:r>
        <w:rPr>
          <w:rFonts w:hint="eastAsia" w:ascii="宋体" w:hAnsi="宋体" w:cs="宋体"/>
          <w:b/>
          <w:bCs/>
          <w:color w:val="auto"/>
          <w:sz w:val="24"/>
          <w:highlight w:val="none"/>
          <w:lang w:val="en-US" w:eastAsia="zh-CN"/>
        </w:rPr>
        <w:t>9</w:t>
      </w:r>
      <w:r>
        <w:rPr>
          <w:rFonts w:hint="eastAsia" w:ascii="宋体" w:hAnsi="宋体" w:cs="宋体"/>
          <w:b/>
          <w:bCs/>
          <w:color w:val="auto"/>
          <w:sz w:val="24"/>
          <w:highlight w:val="none"/>
        </w:rPr>
        <w:t>日12时00分，</w:t>
      </w:r>
      <w:r>
        <w:rPr>
          <w:rFonts w:hint="eastAsia" w:ascii="宋体" w:hAnsi="宋体" w:cs="宋体"/>
          <w:color w:val="auto"/>
          <w:sz w:val="24"/>
          <w:highlight w:val="none"/>
        </w:rPr>
        <w:t>逾期递交的比选文件恕不接收。</w:t>
      </w:r>
    </w:p>
    <w:p w14:paraId="6FD3F6A4">
      <w:pPr>
        <w:pStyle w:val="42"/>
        <w:autoSpaceDE w:val="0"/>
        <w:autoSpaceDN w:val="0"/>
        <w:ind w:firstLine="48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（四）提交比选申请文件时必须同时提交以下资料：</w:t>
      </w:r>
    </w:p>
    <w:p w14:paraId="31A9D9CE">
      <w:pPr>
        <w:pStyle w:val="42"/>
        <w:autoSpaceDE w:val="0"/>
        <w:autoSpaceDN w:val="0"/>
        <w:ind w:firstLine="48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1.单位介绍信；</w:t>
      </w:r>
    </w:p>
    <w:p w14:paraId="13D98931">
      <w:pPr>
        <w:pStyle w:val="42"/>
        <w:autoSpaceDE w:val="0"/>
        <w:autoSpaceDN w:val="0"/>
        <w:ind w:firstLine="48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2.经办人身份证复印件及联系方式。（法定代表人投标需提供法定代表人身份证复印件及营业执照复印件），以上材料均须加盖公章。</w:t>
      </w:r>
    </w:p>
    <w:p w14:paraId="3FFA8DC4">
      <w:pPr>
        <w:spacing w:line="360" w:lineRule="auto"/>
        <w:ind w:firstLine="482" w:firstLineChars="200"/>
        <w:jc w:val="left"/>
        <w:rPr>
          <w:rFonts w:hint="eastAsia" w:ascii="宋体" w:hAnsi="宋体" w:cs="宋体"/>
          <w:color w:val="auto"/>
          <w:sz w:val="24"/>
          <w:highlight w:val="none"/>
        </w:rPr>
      </w:pPr>
      <w:r>
        <w:rPr>
          <w:rFonts w:hint="eastAsia" w:ascii="宋体" w:hAnsi="宋体" w:cs="宋体"/>
          <w:b/>
          <w:color w:val="auto"/>
          <w:sz w:val="24"/>
          <w:highlight w:val="none"/>
        </w:rPr>
        <w:t>五、比选时间：北京时间</w:t>
      </w:r>
      <w:r>
        <w:rPr>
          <w:rFonts w:hint="eastAsia" w:ascii="宋体" w:hAnsi="宋体" w:cs="宋体"/>
          <w:b/>
          <w:bCs/>
          <w:color w:val="auto"/>
          <w:sz w:val="24"/>
          <w:highlight w:val="none"/>
        </w:rPr>
        <w:t>2026年</w:t>
      </w: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月</w:t>
      </w:r>
      <w:r>
        <w:rPr>
          <w:rFonts w:hint="eastAsia" w:ascii="宋体" w:hAnsi="宋体" w:cs="宋体"/>
          <w:b/>
          <w:bCs/>
          <w:color w:val="auto"/>
          <w:sz w:val="24"/>
          <w:highlight w:val="none"/>
          <w:lang w:val="en-US" w:eastAsia="zh-CN"/>
        </w:rPr>
        <w:t>9</w:t>
      </w:r>
      <w:r>
        <w:rPr>
          <w:rFonts w:hint="eastAsia" w:ascii="宋体" w:hAnsi="宋体" w:cs="宋体"/>
          <w:b/>
          <w:bCs/>
          <w:color w:val="auto"/>
          <w:sz w:val="24"/>
          <w:highlight w:val="none"/>
        </w:rPr>
        <w:t>日1</w:t>
      </w: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rPr>
        <w:t>时00分</w:t>
      </w:r>
      <w:r>
        <w:rPr>
          <w:rFonts w:hint="eastAsia" w:ascii="宋体" w:hAnsi="宋体" w:cs="宋体"/>
          <w:color w:val="auto"/>
          <w:sz w:val="24"/>
          <w:highlight w:val="none"/>
        </w:rPr>
        <w:t>。</w:t>
      </w:r>
    </w:p>
    <w:p w14:paraId="0A1D5D84">
      <w:pPr>
        <w:spacing w:line="360" w:lineRule="auto"/>
        <w:ind w:firstLine="482" w:firstLineChars="200"/>
        <w:jc w:val="left"/>
        <w:rPr>
          <w:rFonts w:hint="eastAsia" w:ascii="宋体" w:hAnsi="宋体" w:cs="宋体"/>
          <w:color w:val="auto"/>
          <w:sz w:val="24"/>
          <w:highlight w:val="none"/>
        </w:rPr>
      </w:pPr>
      <w:r>
        <w:rPr>
          <w:rFonts w:hint="eastAsia" w:ascii="宋体" w:hAnsi="宋体" w:cs="宋体"/>
          <w:b/>
          <w:color w:val="auto"/>
          <w:sz w:val="24"/>
          <w:highlight w:val="none"/>
        </w:rPr>
        <w:t>六、比选地点：</w:t>
      </w:r>
      <w:r>
        <w:rPr>
          <w:rFonts w:hint="eastAsia" w:ascii="宋体" w:hAnsi="宋体" w:cs="宋体"/>
          <w:bCs/>
          <w:color w:val="auto"/>
          <w:sz w:val="24"/>
          <w:highlight w:val="none"/>
        </w:rPr>
        <w:t>成都汽车职业技术学校（成都市龙泉驿区同安镇幸福路388号）</w:t>
      </w:r>
      <w:r>
        <w:rPr>
          <w:rFonts w:hint="eastAsia" w:ascii="宋体" w:hAnsi="宋体" w:cs="宋体"/>
          <w:color w:val="auto"/>
          <w:sz w:val="24"/>
          <w:highlight w:val="none"/>
        </w:rPr>
        <w:t>。</w:t>
      </w:r>
    </w:p>
    <w:p w14:paraId="2399451B">
      <w:pPr>
        <w:spacing w:line="360" w:lineRule="auto"/>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七、本比选邀请在成都汽车职业技术学校官网上以公告形式发布，本项目不属于政府采购项目。</w:t>
      </w:r>
    </w:p>
    <w:p w14:paraId="49FCE078">
      <w:pPr>
        <w:spacing w:line="360" w:lineRule="auto"/>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八、联系方式</w:t>
      </w:r>
      <w:bookmarkStart w:id="91" w:name="_GoBack"/>
      <w:bookmarkEnd w:id="91"/>
    </w:p>
    <w:p w14:paraId="053C3643">
      <w:pPr>
        <w:spacing w:line="360" w:lineRule="auto"/>
        <w:ind w:firstLine="960" w:firstLineChars="400"/>
        <w:rPr>
          <w:rFonts w:hint="eastAsia" w:ascii="宋体" w:hAnsi="宋体" w:cs="宋体"/>
          <w:b/>
          <w:color w:val="auto"/>
          <w:sz w:val="24"/>
          <w:highlight w:val="none"/>
        </w:rPr>
      </w:pPr>
      <w:r>
        <w:rPr>
          <w:rFonts w:hint="eastAsia" w:ascii="宋体" w:hAnsi="宋体" w:cs="宋体"/>
          <w:bCs/>
          <w:color w:val="auto"/>
          <w:sz w:val="24"/>
          <w:highlight w:val="none"/>
        </w:rPr>
        <w:t>采购人：成都汽车职业技术学校</w:t>
      </w:r>
    </w:p>
    <w:p w14:paraId="71FA5392">
      <w:pPr>
        <w:spacing w:line="360" w:lineRule="auto"/>
        <w:ind w:firstLine="960" w:firstLineChars="400"/>
        <w:rPr>
          <w:rFonts w:hint="eastAsia" w:ascii="宋体" w:hAnsi="宋体" w:cs="宋体"/>
          <w:bCs/>
          <w:color w:val="auto"/>
          <w:sz w:val="24"/>
          <w:highlight w:val="none"/>
        </w:rPr>
      </w:pPr>
      <w:r>
        <w:rPr>
          <w:rFonts w:hint="eastAsia" w:ascii="宋体" w:hAnsi="宋体" w:cs="宋体"/>
          <w:bCs/>
          <w:color w:val="auto"/>
          <w:sz w:val="24"/>
          <w:highlight w:val="none"/>
        </w:rPr>
        <w:t>地址：成都市龙泉驿区同安镇幸福路388号</w:t>
      </w:r>
    </w:p>
    <w:p w14:paraId="2B6500D3">
      <w:pPr>
        <w:spacing w:line="360" w:lineRule="auto"/>
        <w:ind w:firstLine="960" w:firstLineChars="400"/>
        <w:rPr>
          <w:rFonts w:hint="eastAsia" w:ascii="宋体" w:hAnsi="宋体" w:eastAsia="宋体" w:cs="宋体"/>
          <w:bCs/>
          <w:color w:val="auto"/>
          <w:sz w:val="24"/>
          <w:highlight w:val="none"/>
          <w:lang w:val="en-US" w:eastAsia="zh-CN"/>
        </w:rPr>
      </w:pPr>
      <w:r>
        <w:rPr>
          <w:rFonts w:hint="eastAsia" w:ascii="宋体" w:hAnsi="宋体" w:cs="宋体"/>
          <w:bCs/>
          <w:color w:val="auto"/>
          <w:sz w:val="24"/>
          <w:highlight w:val="none"/>
        </w:rPr>
        <w:t>联系人：汤</w:t>
      </w:r>
      <w:r>
        <w:rPr>
          <w:rFonts w:hint="eastAsia" w:ascii="宋体" w:hAnsi="宋体" w:cs="宋体"/>
          <w:bCs/>
          <w:color w:val="auto"/>
          <w:sz w:val="24"/>
          <w:highlight w:val="none"/>
          <w:lang w:val="en-US" w:eastAsia="zh-CN"/>
        </w:rPr>
        <w:t>老师</w:t>
      </w:r>
    </w:p>
    <w:p w14:paraId="5CDD70FF">
      <w:pPr>
        <w:spacing w:line="360" w:lineRule="auto"/>
        <w:ind w:firstLine="960" w:firstLineChars="400"/>
        <w:rPr>
          <w:rFonts w:hint="default" w:ascii="宋体" w:hAnsi="宋体" w:eastAsia="宋体" w:cs="宋体"/>
          <w:bCs/>
          <w:color w:val="auto"/>
          <w:highlight w:val="none"/>
          <w:lang w:val="en-US" w:eastAsia="zh-CN"/>
        </w:rPr>
      </w:pPr>
      <w:r>
        <w:rPr>
          <w:rFonts w:hint="eastAsia" w:ascii="宋体" w:hAnsi="宋体" w:cs="宋体"/>
          <w:bCs/>
          <w:color w:val="auto"/>
          <w:sz w:val="24"/>
          <w:highlight w:val="none"/>
        </w:rPr>
        <w:t>联系电话：</w:t>
      </w:r>
      <w:r>
        <w:rPr>
          <w:rFonts w:hint="eastAsia" w:ascii="宋体" w:hAnsi="宋体" w:cs="宋体"/>
          <w:bCs/>
          <w:color w:val="auto"/>
          <w:sz w:val="24"/>
          <w:highlight w:val="none"/>
          <w:lang w:val="en-US" w:eastAsia="zh-CN"/>
        </w:rPr>
        <w:t>028-86498782</w:t>
      </w:r>
    </w:p>
    <w:p w14:paraId="3644D861">
      <w:pPr>
        <w:spacing w:line="360" w:lineRule="auto"/>
        <w:ind w:firstLine="1260" w:firstLineChars="600"/>
        <w:rPr>
          <w:rFonts w:hint="eastAsia" w:ascii="宋体" w:hAnsi="宋体" w:cs="宋体"/>
          <w:bCs/>
          <w:color w:val="auto"/>
          <w:highlight w:val="none"/>
        </w:rPr>
      </w:pPr>
    </w:p>
    <w:p w14:paraId="0A2DD0BE">
      <w:pPr>
        <w:rPr>
          <w:rFonts w:hint="eastAsia" w:ascii="宋体" w:hAnsi="宋体" w:eastAsia="宋体" w:cs="宋体"/>
          <w:color w:val="auto"/>
          <w:highlight w:val="none"/>
        </w:rPr>
      </w:pPr>
    </w:p>
    <w:p w14:paraId="1AADB1C9">
      <w:pPr>
        <w:pStyle w:val="12"/>
        <w:rPr>
          <w:rFonts w:hint="eastAsia" w:ascii="宋体" w:hAnsi="宋体" w:eastAsia="宋体" w:cs="宋体"/>
          <w:color w:val="auto"/>
          <w:highlight w:val="none"/>
        </w:rPr>
      </w:pPr>
    </w:p>
    <w:p w14:paraId="148A3EAB">
      <w:pPr>
        <w:pStyle w:val="23"/>
        <w:rPr>
          <w:rFonts w:hint="eastAsia" w:ascii="宋体" w:hAnsi="宋体" w:eastAsia="宋体" w:cs="宋体"/>
          <w:b w:val="0"/>
          <w:color w:val="auto"/>
          <w:highlight w:val="none"/>
        </w:rPr>
      </w:pPr>
    </w:p>
    <w:p w14:paraId="1692E703">
      <w:pPr>
        <w:rPr>
          <w:rFonts w:hint="eastAsia" w:ascii="宋体" w:hAnsi="宋体" w:eastAsia="宋体" w:cs="宋体"/>
          <w:color w:val="auto"/>
          <w:highlight w:val="none"/>
        </w:rPr>
      </w:pPr>
    </w:p>
    <w:p w14:paraId="1CB51D1B">
      <w:pPr>
        <w:pStyle w:val="12"/>
        <w:rPr>
          <w:rFonts w:hint="eastAsia" w:ascii="宋体" w:hAnsi="宋体" w:eastAsia="宋体" w:cs="宋体"/>
          <w:color w:val="auto"/>
          <w:highlight w:val="none"/>
        </w:rPr>
      </w:pPr>
    </w:p>
    <w:p w14:paraId="6B2A656E">
      <w:pPr>
        <w:rPr>
          <w:rFonts w:hint="eastAsia" w:ascii="宋体" w:hAnsi="宋体" w:eastAsia="宋体" w:cs="宋体"/>
          <w:color w:val="auto"/>
          <w:highlight w:val="none"/>
        </w:rPr>
      </w:pPr>
    </w:p>
    <w:p w14:paraId="3AC5F215">
      <w:pPr>
        <w:rPr>
          <w:rFonts w:hint="eastAsia" w:ascii="宋体" w:hAnsi="宋体" w:eastAsia="宋体" w:cs="宋体"/>
          <w:color w:val="auto"/>
          <w:highlight w:val="none"/>
        </w:rPr>
        <w:sectPr>
          <w:headerReference r:id="rId8" w:type="default"/>
          <w:footerReference r:id="rId9" w:type="default"/>
          <w:footerReference r:id="rId10" w:type="even"/>
          <w:pgSz w:w="11906" w:h="16838"/>
          <w:pgMar w:top="1440" w:right="1803" w:bottom="1440" w:left="1803" w:header="851" w:footer="992" w:gutter="0"/>
          <w:cols w:space="720" w:num="1"/>
          <w:docGrid w:type="lines" w:linePitch="319" w:charSpace="0"/>
        </w:sectPr>
      </w:pPr>
    </w:p>
    <w:p w14:paraId="7E1DBC4B">
      <w:pPr>
        <w:rPr>
          <w:rFonts w:hint="eastAsia" w:ascii="宋体" w:hAnsi="宋体" w:eastAsia="宋体" w:cs="宋体"/>
          <w:color w:val="auto"/>
          <w:highlight w:val="none"/>
        </w:rPr>
      </w:pPr>
    </w:p>
    <w:p w14:paraId="56E4EBF1">
      <w:pPr>
        <w:pStyle w:val="4"/>
        <w:spacing w:before="0" w:after="0" w:line="700" w:lineRule="exact"/>
        <w:jc w:val="center"/>
        <w:rPr>
          <w:rFonts w:hint="eastAsia" w:ascii="宋体" w:hAnsi="宋体" w:eastAsia="宋体" w:cs="宋体"/>
          <w:b w:val="0"/>
          <w:color w:val="auto"/>
          <w:highlight w:val="none"/>
        </w:rPr>
      </w:pPr>
      <w:bookmarkStart w:id="10" w:name="_Toc5696"/>
      <w:r>
        <w:rPr>
          <w:rFonts w:hint="eastAsia" w:ascii="宋体" w:hAnsi="宋体" w:eastAsia="宋体" w:cs="宋体"/>
          <w:b w:val="0"/>
          <w:color w:val="auto"/>
          <w:highlight w:val="none"/>
        </w:rPr>
        <w:t>第二章投标人须知</w:t>
      </w:r>
      <w:bookmarkEnd w:id="0"/>
      <w:bookmarkEnd w:id="10"/>
    </w:p>
    <w:bookmarkEnd w:id="1"/>
    <w:bookmarkEnd w:id="2"/>
    <w:bookmarkEnd w:id="3"/>
    <w:bookmarkEnd w:id="4"/>
    <w:bookmarkEnd w:id="5"/>
    <w:p w14:paraId="273C4E00">
      <w:pPr>
        <w:pStyle w:val="5"/>
        <w:spacing w:before="0" w:after="0" w:line="240" w:lineRule="auto"/>
        <w:jc w:val="center"/>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一、比选申请人须知</w:t>
      </w:r>
    </w:p>
    <w:p w14:paraId="4F891A7C">
      <w:pPr>
        <w:pStyle w:val="5"/>
        <w:spacing w:before="0" w:after="0" w:line="240" w:lineRule="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项目名称：</w:t>
      </w:r>
      <w:r>
        <w:rPr>
          <w:rFonts w:hint="eastAsia" w:ascii="宋体" w:hAnsi="宋体" w:eastAsia="宋体" w:cs="宋体"/>
          <w:color w:val="auto"/>
          <w:sz w:val="28"/>
          <w:szCs w:val="28"/>
          <w:highlight w:val="none"/>
          <w:lang w:eastAsia="zh-CN"/>
        </w:rPr>
        <w:t>成都汽车职业技术学校2026年学生视力筛查服务采购项目</w:t>
      </w:r>
    </w:p>
    <w:p w14:paraId="59C9E1A2">
      <w:pPr>
        <w:spacing w:after="0" w:line="240" w:lineRule="auto"/>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采购项目编号：QCZX-XSC-2026060</w:t>
      </w:r>
      <w:r>
        <w:rPr>
          <w:rFonts w:hint="eastAsia" w:ascii="宋体" w:hAnsi="宋体" w:cs="宋体"/>
          <w:b/>
          <w:bCs/>
          <w:color w:val="auto"/>
          <w:sz w:val="28"/>
          <w:szCs w:val="28"/>
          <w:highlight w:val="none"/>
          <w:lang w:val="en-US" w:eastAsia="zh-CN"/>
        </w:rPr>
        <w:t>4</w:t>
      </w:r>
    </w:p>
    <w:p w14:paraId="30E1F4D8">
      <w:pPr>
        <w:spacing w:after="0" w:line="240" w:lineRule="auto"/>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采购预算</w:t>
      </w:r>
      <w:r>
        <w:rPr>
          <w:rFonts w:hint="eastAsia" w:ascii="宋体" w:hAnsi="宋体" w:eastAsia="宋体" w:cs="宋体"/>
          <w:b/>
          <w:bCs/>
          <w:color w:val="auto"/>
          <w:sz w:val="28"/>
          <w:szCs w:val="28"/>
          <w:highlight w:val="none"/>
        </w:rPr>
        <w:t>：10元/生/年（春季、秋季共2次</w:t>
      </w:r>
      <w:r>
        <w:rPr>
          <w:rFonts w:hint="eastAsia" w:ascii="宋体" w:hAnsi="宋体" w:eastAsia="宋体" w:cs="宋体"/>
          <w:b/>
          <w:bCs/>
          <w:color w:val="auto"/>
          <w:sz w:val="28"/>
          <w:szCs w:val="28"/>
          <w:highlight w:val="none"/>
          <w:lang w:eastAsia="zh-CN"/>
        </w:rPr>
        <w:t>视力筛查服务</w:t>
      </w:r>
      <w:r>
        <w:rPr>
          <w:rFonts w:hint="eastAsia" w:ascii="宋体" w:hAnsi="宋体" w:eastAsia="宋体" w:cs="宋体"/>
          <w:b/>
          <w:bCs/>
          <w:color w:val="auto"/>
          <w:sz w:val="28"/>
          <w:szCs w:val="28"/>
          <w:highlight w:val="none"/>
        </w:rPr>
        <w:t>）</w:t>
      </w:r>
    </w:p>
    <w:p w14:paraId="65FFABF0">
      <w:pPr>
        <w:numPr>
          <w:ilvl w:val="0"/>
          <w:numId w:val="0"/>
        </w:numPr>
        <w:spacing w:after="0" w:line="240" w:lineRule="auto"/>
        <w:jc w:val="left"/>
        <w:rPr>
          <w:rFonts w:hint="default" w:eastAsia="宋体"/>
          <w:color w:val="auto"/>
          <w:sz w:val="28"/>
          <w:szCs w:val="28"/>
          <w:highlight w:val="none"/>
          <w:lang w:val="en-US" w:eastAsia="zh-CN"/>
        </w:rPr>
      </w:pPr>
      <w:r>
        <w:rPr>
          <w:rFonts w:ascii="宋体" w:hAnsi="宋体" w:eastAsia="宋体" w:cs="宋体"/>
          <w:b/>
          <w:bCs/>
          <w:color w:val="auto"/>
          <w:highlight w:val="none"/>
        </w:rPr>
        <w:t>★</w:t>
      </w:r>
      <w:r>
        <w:rPr>
          <w:rFonts w:hint="eastAsia" w:ascii="宋体" w:hAnsi="宋体" w:eastAsia="宋体" w:cs="宋体"/>
          <w:b/>
          <w:bCs/>
          <w:color w:val="auto"/>
          <w:kern w:val="2"/>
          <w:sz w:val="28"/>
          <w:szCs w:val="28"/>
          <w:highlight w:val="none"/>
          <w:lang w:val="en-US" w:eastAsia="zh-CN" w:bidi="ar-SA"/>
        </w:rPr>
        <w:t>1.</w:t>
      </w:r>
      <w:r>
        <w:rPr>
          <w:rFonts w:hint="eastAsia" w:ascii="宋体" w:hAnsi="宋体" w:cs="宋体"/>
          <w:b/>
          <w:bCs/>
          <w:color w:val="auto"/>
          <w:sz w:val="28"/>
          <w:szCs w:val="28"/>
          <w:highlight w:val="none"/>
          <w:lang w:val="en-US" w:eastAsia="zh-CN"/>
        </w:rPr>
        <w:t>具备以下技术要求</w:t>
      </w:r>
    </w:p>
    <w:tbl>
      <w:tblPr>
        <w:tblStyle w:val="32"/>
        <w:tblW w:w="9225"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228"/>
        <w:gridCol w:w="943"/>
        <w:gridCol w:w="6272"/>
      </w:tblGrid>
      <w:tr w14:paraId="0D78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82" w:type="dxa"/>
          </w:tcPr>
          <w:p w14:paraId="22FC639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序号</w:t>
            </w:r>
          </w:p>
        </w:tc>
        <w:tc>
          <w:tcPr>
            <w:tcW w:w="1228" w:type="dxa"/>
          </w:tcPr>
          <w:p w14:paraId="74DDDF3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名称</w:t>
            </w:r>
          </w:p>
        </w:tc>
        <w:tc>
          <w:tcPr>
            <w:tcW w:w="943" w:type="dxa"/>
          </w:tcPr>
          <w:p w14:paraId="3CDA14C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数量</w:t>
            </w:r>
          </w:p>
        </w:tc>
        <w:tc>
          <w:tcPr>
            <w:tcW w:w="6272" w:type="dxa"/>
          </w:tcPr>
          <w:p w14:paraId="580E6D3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b/>
                <w:bCs/>
                <w:color w:val="auto"/>
                <w:sz w:val="24"/>
                <w:szCs w:val="24"/>
                <w:highlight w:val="none"/>
                <w:vertAlign w:val="baseline"/>
                <w:lang w:val="en-US" w:eastAsia="zh-CN"/>
              </w:rPr>
            </w:pPr>
            <w:r>
              <w:rPr>
                <w:rFonts w:ascii="宋体" w:hAnsi="宋体" w:eastAsia="宋体" w:cs="宋体"/>
                <w:b/>
                <w:bCs/>
                <w:color w:val="auto"/>
                <w:sz w:val="24"/>
                <w:szCs w:val="24"/>
                <w:highlight w:val="none"/>
              </w:rPr>
              <w:t>技术参数</w:t>
            </w:r>
            <w:r>
              <w:rPr>
                <w:rFonts w:hint="eastAsia" w:ascii="宋体" w:hAnsi="宋体" w:eastAsia="宋体" w:cs="宋体"/>
                <w:b/>
                <w:bCs/>
                <w:color w:val="auto"/>
                <w:sz w:val="24"/>
                <w:szCs w:val="24"/>
                <w:highlight w:val="none"/>
                <w:lang w:val="en-US" w:eastAsia="zh-CN"/>
              </w:rPr>
              <w:t>与性能指标</w:t>
            </w:r>
          </w:p>
        </w:tc>
      </w:tr>
      <w:tr w14:paraId="0B60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6" w:hRule="atLeast"/>
        </w:trPr>
        <w:tc>
          <w:tcPr>
            <w:tcW w:w="782" w:type="dxa"/>
          </w:tcPr>
          <w:p w14:paraId="1BDFF40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1</w:t>
            </w:r>
          </w:p>
        </w:tc>
        <w:tc>
          <w:tcPr>
            <w:tcW w:w="1228" w:type="dxa"/>
          </w:tcPr>
          <w:p w14:paraId="0614C11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0"/>
                <w:szCs w:val="20"/>
                <w:highlight w:val="none"/>
                <w:vertAlign w:val="baseline"/>
                <w:lang w:val="en-US" w:eastAsia="zh-CN"/>
              </w:rPr>
            </w:pPr>
            <w:r>
              <w:rPr>
                <w:rFonts w:hint="eastAsia" w:asciiTheme="minorEastAsia" w:hAnsiTheme="minorEastAsia" w:eastAsiaTheme="minorEastAsia" w:cstheme="minorEastAsia"/>
                <w:color w:val="auto"/>
                <w:sz w:val="20"/>
                <w:szCs w:val="20"/>
                <w:highlight w:val="none"/>
              </w:rPr>
              <w:t>青少年视力筛查服务</w:t>
            </w:r>
          </w:p>
        </w:tc>
        <w:tc>
          <w:tcPr>
            <w:tcW w:w="943" w:type="dxa"/>
          </w:tcPr>
          <w:p w14:paraId="2D5C025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heme="minorEastAsia" w:hAnsiTheme="minorEastAsia" w:eastAsiaTheme="minorEastAsia" w:cstheme="minorEastAsia"/>
                <w:color w:val="auto"/>
                <w:sz w:val="20"/>
                <w:szCs w:val="20"/>
                <w:highlight w:val="none"/>
                <w:vertAlign w:val="baseline"/>
                <w:lang w:val="en-US" w:eastAsia="zh-CN"/>
              </w:rPr>
            </w:pPr>
            <w:r>
              <w:rPr>
                <w:rFonts w:hint="eastAsia" w:asciiTheme="minorEastAsia" w:hAnsiTheme="minorEastAsia" w:eastAsiaTheme="minorEastAsia" w:cstheme="minorEastAsia"/>
                <w:color w:val="auto"/>
                <w:sz w:val="20"/>
                <w:szCs w:val="20"/>
                <w:highlight w:val="none"/>
              </w:rPr>
              <w:t>1 批（覆盖全校 学生）</w:t>
            </w:r>
          </w:p>
        </w:tc>
        <w:tc>
          <w:tcPr>
            <w:tcW w:w="6272" w:type="dxa"/>
          </w:tcPr>
          <w:p w14:paraId="367FC7B8">
            <w:pPr>
              <w:keepNext w:val="0"/>
              <w:keepLines w:val="0"/>
              <w:pageBreakBefore w:val="0"/>
              <w:widowControl w:val="0"/>
              <w:numPr>
                <w:ilvl w:val="0"/>
                <w:numId w:val="3"/>
              </w:numPr>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筛查项目要求：</w:t>
            </w:r>
          </w:p>
          <w:p w14:paraId="55E4B583">
            <w:pPr>
              <w:keepNext w:val="0"/>
              <w:keepLines w:val="0"/>
              <w:pageBreakBefore w:val="0"/>
              <w:widowControl w:val="0"/>
              <w:numPr>
                <w:ilvl w:val="0"/>
                <w:numId w:val="4"/>
              </w:numPr>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基础项目：裸眼视力、矫正视力（针对戴镜人群）、屈光度（球镜、柱镜、轴位）、眼位检查；</w:t>
            </w:r>
          </w:p>
          <w:p w14:paraId="75DFFB3F">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拓展项目：角膜曲率、眼压检测（针对教职工及高度近视学生）、视疲劳风险评估；</w:t>
            </w:r>
          </w:p>
          <w:p w14:paraId="4F582C48">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筛查标准：符合《儿童青少年</w:t>
            </w:r>
            <w:r>
              <w:rPr>
                <w:rFonts w:hint="eastAsia" w:asciiTheme="minorEastAsia" w:hAnsiTheme="minorEastAsia" w:eastAsiaTheme="minorEastAsia" w:cstheme="minorEastAsia"/>
                <w:color w:val="auto"/>
                <w:sz w:val="20"/>
                <w:szCs w:val="20"/>
                <w:highlight w:val="none"/>
                <w:lang w:val="en-US" w:eastAsia="zh-CN"/>
              </w:rPr>
              <w:t>裸眼视力和屈光状态评价</w:t>
            </w:r>
            <w:r>
              <w:rPr>
                <w:rFonts w:hint="eastAsia" w:asciiTheme="minorEastAsia" w:hAnsiTheme="minorEastAsia" w:eastAsiaTheme="minorEastAsia" w:cstheme="minorEastAsia"/>
                <w:color w:val="auto"/>
                <w:sz w:val="20"/>
                <w:szCs w:val="20"/>
                <w:highlight w:val="none"/>
              </w:rPr>
              <w:t>规范》（</w:t>
            </w:r>
            <w:r>
              <w:rPr>
                <w:rFonts w:hint="eastAsia" w:asciiTheme="minorEastAsia" w:hAnsiTheme="minorEastAsia" w:eastAsiaTheme="minorEastAsia" w:cstheme="minorEastAsia"/>
                <w:color w:val="auto"/>
                <w:sz w:val="20"/>
                <w:szCs w:val="20"/>
                <w:highlight w:val="none"/>
                <w:lang w:val="en-US" w:eastAsia="zh-CN"/>
              </w:rPr>
              <w:t>WS</w:t>
            </w:r>
            <w:r>
              <w:rPr>
                <w:rFonts w:hint="eastAsia" w:asciiTheme="minorEastAsia" w:hAnsiTheme="minorEastAsia" w:eastAsiaTheme="minorEastAsia" w:cstheme="minorEastAsia"/>
                <w:color w:val="auto"/>
                <w:sz w:val="20"/>
                <w:szCs w:val="20"/>
                <w:highlight w:val="none"/>
              </w:rPr>
              <w:t xml:space="preserve">/T </w:t>
            </w:r>
            <w:r>
              <w:rPr>
                <w:rFonts w:hint="eastAsia" w:asciiTheme="minorEastAsia" w:hAnsiTheme="minorEastAsia" w:eastAsiaTheme="minorEastAsia" w:cstheme="minorEastAsia"/>
                <w:color w:val="auto"/>
                <w:sz w:val="20"/>
                <w:szCs w:val="20"/>
                <w:highlight w:val="none"/>
                <w:lang w:val="en-US" w:eastAsia="zh-CN"/>
              </w:rPr>
              <w:t>10039-2025</w:t>
            </w:r>
            <w:r>
              <w:rPr>
                <w:rFonts w:hint="eastAsia" w:asciiTheme="minorEastAsia" w:hAnsiTheme="minorEastAsia" w:eastAsiaTheme="minorEastAsia" w:cstheme="minorEastAsia"/>
                <w:color w:val="auto"/>
                <w:sz w:val="20"/>
                <w:szCs w:val="20"/>
                <w:highlight w:val="none"/>
              </w:rPr>
              <w:t>）及龙泉驿区教育局《成都市龙泉驿区教育局关于202</w:t>
            </w:r>
            <w:r>
              <w:rPr>
                <w:rFonts w:hint="eastAsia" w:asciiTheme="minorEastAsia" w:hAnsiTheme="minorEastAsia" w:eastAsiaTheme="minorEastAsia" w:cstheme="minorEastAsia"/>
                <w:color w:val="auto"/>
                <w:sz w:val="20"/>
                <w:szCs w:val="20"/>
                <w:highlight w:val="none"/>
                <w:lang w:val="en-US" w:eastAsia="zh-CN"/>
              </w:rPr>
              <w:t>6</w:t>
            </w:r>
            <w:r>
              <w:rPr>
                <w:rFonts w:hint="eastAsia" w:asciiTheme="minorEastAsia" w:hAnsiTheme="minorEastAsia" w:eastAsiaTheme="minorEastAsia" w:cstheme="minorEastAsia"/>
                <w:color w:val="auto"/>
                <w:sz w:val="20"/>
                <w:szCs w:val="20"/>
                <w:highlight w:val="none"/>
              </w:rPr>
              <w:t>年开展儿童青少年视力筛查工作相关事项的通知》要求。</w:t>
            </w:r>
          </w:p>
          <w:p w14:paraId="6029BBED">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设备支持要求：</w:t>
            </w:r>
          </w:p>
          <w:p w14:paraId="2D83C4D8">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leftChars="0"/>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筛查机构需自带专业设备，且设备需满足以下参数：</w:t>
            </w:r>
          </w:p>
          <w:p w14:paraId="34C93CCB">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（1）电脑验光仪：球镜测量范围 - 10.00~+8.00D，柱镜 0~±6.00D，支持数据导出（Excel/CSV 格式）；</w:t>
            </w:r>
          </w:p>
          <w:p w14:paraId="20EF782F">
            <w:pPr>
              <w:keepNext w:val="0"/>
              <w:keepLines w:val="0"/>
              <w:pageBreakBefore w:val="0"/>
              <w:widowControl w:val="0"/>
              <w:numPr>
                <w:ilvl w:val="0"/>
                <w:numId w:val="6"/>
              </w:numPr>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视力表：标准对数视力表（符合 GB 11533-2011），LED 冷光源，亮度 500~1000lux，无频闪；</w:t>
            </w:r>
          </w:p>
          <w:p w14:paraId="38E3FD46">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眼压计：非接触式，测量范围 6~60mmHg，误差≤±1mmHg；</w:t>
            </w:r>
          </w:p>
          <w:p w14:paraId="0218734E">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角膜曲率计：测量范围 33.00~48.00D，精度 ±0.25D。</w:t>
            </w:r>
          </w:p>
          <w:p w14:paraId="434D5403">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数据交付要求：</w:t>
            </w:r>
          </w:p>
          <w:p w14:paraId="143F8DAA">
            <w:pPr>
              <w:keepNext w:val="0"/>
              <w:keepLines w:val="0"/>
              <w:pageBreakBefore w:val="0"/>
              <w:widowControl w:val="0"/>
              <w:numPr>
                <w:ilvl w:val="0"/>
                <w:numId w:val="7"/>
              </w:numPr>
              <w:kinsoku/>
              <w:wordWrap/>
              <w:overflowPunct/>
              <w:topLinePunct w:val="0"/>
              <w:autoSpaceDE/>
              <w:autoSpaceDN/>
              <w:bidi w:val="0"/>
              <w:adjustRightInd/>
              <w:snapToGrid/>
              <w:spacing w:line="480" w:lineRule="exact"/>
              <w:ind w:leftChars="0"/>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每人提供纸质版《视力筛查报告》（含检测数据、结果解读、护眼建议）；</w:t>
            </w:r>
          </w:p>
          <w:p w14:paraId="7D1657E7">
            <w:pPr>
              <w:keepNext w:val="0"/>
              <w:keepLines w:val="0"/>
              <w:pageBreakBefore w:val="0"/>
              <w:widowControl w:val="0"/>
              <w:numPr>
                <w:ilvl w:val="0"/>
                <w:numId w:val="7"/>
              </w:numPr>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汇总提供电子版视力健康档案（Excel 格式，含师生基础信息、各项检测数据、视力分级结果）；</w:t>
            </w:r>
          </w:p>
          <w:p w14:paraId="4E48F2D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textAlignment w:val="auto"/>
              <w:rPr>
                <w:rFonts w:hint="eastAsia" w:asciiTheme="minorEastAsia" w:hAnsiTheme="minorEastAsia" w:eastAsiaTheme="minorEastAsia" w:cstheme="minorEastAsia"/>
                <w:color w:val="auto"/>
                <w:sz w:val="20"/>
                <w:szCs w:val="20"/>
                <w:highlight w:val="none"/>
                <w:vertAlign w:val="baseline"/>
                <w:lang w:val="en-US" w:eastAsia="zh-CN"/>
              </w:rPr>
            </w:pPr>
            <w:r>
              <w:rPr>
                <w:rFonts w:hint="eastAsia" w:asciiTheme="minorEastAsia" w:hAnsiTheme="minorEastAsia" w:eastAsiaTheme="minorEastAsia" w:cstheme="minorEastAsia"/>
                <w:color w:val="auto"/>
                <w:sz w:val="20"/>
                <w:szCs w:val="20"/>
                <w:highlight w:val="none"/>
              </w:rPr>
              <w:t>3. 教育局系统数据对接服务</w:t>
            </w:r>
            <w:r>
              <w:rPr>
                <w:rFonts w:hint="eastAsia" w:asciiTheme="minorEastAsia" w:hAnsiTheme="minorEastAsia" w:eastAsiaTheme="minorEastAsia" w:cstheme="minorEastAsia"/>
                <w:color w:val="auto"/>
                <w:sz w:val="20"/>
                <w:szCs w:val="20"/>
                <w:highlight w:val="none"/>
                <w:lang w:eastAsia="zh-CN"/>
              </w:rPr>
              <w:t>：</w:t>
            </w:r>
            <w:r>
              <w:rPr>
                <w:rFonts w:hint="eastAsia" w:asciiTheme="minorEastAsia" w:hAnsiTheme="minorEastAsia" w:eastAsiaTheme="minorEastAsia" w:cstheme="minorEastAsia"/>
                <w:color w:val="auto"/>
                <w:sz w:val="20"/>
                <w:szCs w:val="20"/>
                <w:highlight w:val="none"/>
              </w:rPr>
              <w:t>数据需支持与龙泉驿区教育局视力监测系统无缝对接，可直接导入上报。</w:t>
            </w:r>
          </w:p>
        </w:tc>
      </w:tr>
      <w:tr w14:paraId="5E80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782" w:type="dxa"/>
          </w:tcPr>
          <w:p w14:paraId="649C503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0"/>
                <w:szCs w:val="20"/>
                <w:highlight w:val="none"/>
                <w:lang w:val="en-US" w:eastAsia="zh-CN"/>
              </w:rPr>
            </w:pPr>
            <w:r>
              <w:rPr>
                <w:rFonts w:hint="eastAsia" w:asciiTheme="minorEastAsia" w:hAnsiTheme="minorEastAsia" w:eastAsiaTheme="minorEastAsia" w:cstheme="minorEastAsia"/>
                <w:color w:val="auto"/>
                <w:sz w:val="20"/>
                <w:szCs w:val="20"/>
                <w:highlight w:val="none"/>
                <w:lang w:val="en-US" w:eastAsia="zh-CN"/>
              </w:rPr>
              <w:t>2</w:t>
            </w:r>
          </w:p>
        </w:tc>
        <w:tc>
          <w:tcPr>
            <w:tcW w:w="1228" w:type="dxa"/>
          </w:tcPr>
          <w:p w14:paraId="19F9D0C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0"/>
                <w:szCs w:val="20"/>
                <w:highlight w:val="none"/>
                <w:vertAlign w:val="baseline"/>
                <w:lang w:val="en-US" w:eastAsia="zh-CN"/>
              </w:rPr>
            </w:pPr>
            <w:r>
              <w:rPr>
                <w:rFonts w:hint="eastAsia" w:asciiTheme="minorEastAsia" w:hAnsiTheme="minorEastAsia" w:eastAsiaTheme="minorEastAsia" w:cstheme="minorEastAsia"/>
                <w:color w:val="auto"/>
                <w:sz w:val="20"/>
                <w:szCs w:val="20"/>
                <w:highlight w:val="none"/>
              </w:rPr>
              <w:t>辅助服务（含现场布置、耗材供应）</w:t>
            </w:r>
          </w:p>
        </w:tc>
        <w:tc>
          <w:tcPr>
            <w:tcW w:w="943" w:type="dxa"/>
          </w:tcPr>
          <w:p w14:paraId="21A24115">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0"/>
                <w:szCs w:val="20"/>
                <w:highlight w:val="none"/>
                <w:vertAlign w:val="baseline"/>
                <w:lang w:val="en-US" w:eastAsia="zh-CN"/>
              </w:rPr>
            </w:pPr>
            <w:r>
              <w:rPr>
                <w:rFonts w:hint="eastAsia" w:asciiTheme="minorEastAsia" w:hAnsiTheme="minorEastAsia" w:eastAsiaTheme="minorEastAsia" w:cstheme="minorEastAsia"/>
                <w:color w:val="auto"/>
                <w:sz w:val="20"/>
                <w:szCs w:val="20"/>
                <w:highlight w:val="none"/>
              </w:rPr>
              <w:t>1 批</w:t>
            </w:r>
          </w:p>
        </w:tc>
        <w:tc>
          <w:tcPr>
            <w:tcW w:w="6272" w:type="dxa"/>
          </w:tcPr>
          <w:p w14:paraId="1FD6874F">
            <w:pPr>
              <w:keepNext w:val="0"/>
              <w:keepLines w:val="0"/>
              <w:pageBreakBefore w:val="0"/>
              <w:widowControl w:val="0"/>
              <w:numPr>
                <w:ilvl w:val="0"/>
                <w:numId w:val="8"/>
              </w:numPr>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耗材要求：提供一次性验光试镜纸（无菌独立包装）、硅胶遮眼板（一人一用）、消毒湿巾等，符合医疗卫生标准；</w:t>
            </w:r>
          </w:p>
          <w:p w14:paraId="050EC8C5">
            <w:pPr>
              <w:keepNext w:val="0"/>
              <w:keepLines w:val="0"/>
              <w:pageBreakBefore w:val="0"/>
              <w:widowControl w:val="0"/>
              <w:numPr>
                <w:ilvl w:val="0"/>
                <w:numId w:val="8"/>
              </w:numPr>
              <w:kinsoku/>
              <w:wordWrap/>
              <w:overflowPunct/>
              <w:topLinePunct w:val="0"/>
              <w:autoSpaceDE/>
              <w:autoSpaceDN/>
              <w:bidi w:val="0"/>
              <w:adjustRightInd/>
              <w:snapToGrid/>
              <w:spacing w:line="480" w:lineRule="exact"/>
              <w:ind w:left="0" w:leftChars="0" w:firstLine="0" w:firstLineChars="0"/>
              <w:textAlignment w:val="auto"/>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现场布置：自带可移动筛查帐篷/隔断（保障隐私）、护眼照明设备、等待区座椅、流程指引牌等；</w:t>
            </w:r>
          </w:p>
          <w:p w14:paraId="47A2540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textAlignment w:val="auto"/>
              <w:rPr>
                <w:rFonts w:hint="eastAsia" w:asciiTheme="minorEastAsia" w:hAnsiTheme="minorEastAsia" w:eastAsiaTheme="minorEastAsia" w:cstheme="minorEastAsia"/>
                <w:color w:val="auto"/>
                <w:sz w:val="20"/>
                <w:szCs w:val="20"/>
                <w:highlight w:val="none"/>
                <w:vertAlign w:val="baseline"/>
                <w:lang w:val="en-US" w:eastAsia="zh-CN"/>
              </w:rPr>
            </w:pPr>
            <w:r>
              <w:rPr>
                <w:rFonts w:hint="eastAsia" w:asciiTheme="minorEastAsia" w:hAnsiTheme="minorEastAsia" w:eastAsiaTheme="minorEastAsia" w:cstheme="minorEastAsia"/>
                <w:color w:val="auto"/>
                <w:sz w:val="20"/>
                <w:szCs w:val="20"/>
                <w:highlight w:val="none"/>
              </w:rPr>
              <w:t>3. 应急保障：配备急救箱（含常用眼科药品、止血用品），制定视力突发异常（如眼压过高、眼部不适）应急处置方案。</w:t>
            </w:r>
          </w:p>
        </w:tc>
      </w:tr>
    </w:tbl>
    <w:p w14:paraId="1D720B4D">
      <w:pPr>
        <w:pStyle w:val="48"/>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100" w:beforeAutospacing="1" w:after="100" w:afterAutospacing="1" w:line="578" w:lineRule="exact"/>
        <w:textAlignment w:val="auto"/>
        <w:rPr>
          <w:rFonts w:hint="eastAsia" w:ascii="宋体" w:hAnsi="宋体" w:eastAsia="宋体" w:cs="宋体"/>
          <w:b/>
          <w:bCs/>
          <w:color w:val="auto"/>
          <w:kern w:val="0"/>
          <w:position w:val="-6"/>
          <w:sz w:val="28"/>
          <w:szCs w:val="28"/>
          <w:highlight w:val="none"/>
        </w:rPr>
      </w:pPr>
      <w:r>
        <w:rPr>
          <w:rFonts w:hint="eastAsia" w:ascii="宋体" w:hAnsi="宋体" w:eastAsia="宋体" w:cs="宋体"/>
          <w:b/>
          <w:bCs/>
          <w:color w:val="auto"/>
          <w:kern w:val="0"/>
          <w:position w:val="-6"/>
          <w:sz w:val="28"/>
          <w:szCs w:val="28"/>
          <w:highlight w:val="none"/>
        </w:rPr>
        <w:t>附</w:t>
      </w:r>
      <w:r>
        <w:rPr>
          <w:rFonts w:hint="eastAsia" w:ascii="宋体" w:hAnsi="宋体" w:eastAsia="宋体" w:cs="宋体"/>
          <w:b/>
          <w:bCs/>
          <w:color w:val="auto"/>
          <w:kern w:val="0"/>
          <w:position w:val="-6"/>
          <w:sz w:val="28"/>
          <w:szCs w:val="28"/>
          <w:highlight w:val="none"/>
          <w:lang w:eastAsia="zh-CN"/>
        </w:rPr>
        <w:t>：</w:t>
      </w:r>
      <w:r>
        <w:rPr>
          <w:rFonts w:hint="eastAsia" w:ascii="宋体" w:hAnsi="宋体" w:eastAsia="宋体" w:cs="宋体"/>
          <w:b/>
          <w:bCs/>
          <w:color w:val="auto"/>
          <w:kern w:val="0"/>
          <w:position w:val="-6"/>
          <w:sz w:val="28"/>
          <w:szCs w:val="28"/>
          <w:highlight w:val="none"/>
          <w:lang w:val="en-US" w:eastAsia="zh-CN"/>
        </w:rPr>
        <w:t>视力筛查</w:t>
      </w:r>
      <w:r>
        <w:rPr>
          <w:rFonts w:hint="eastAsia" w:ascii="宋体" w:hAnsi="宋体" w:eastAsia="宋体" w:cs="宋体"/>
          <w:b/>
          <w:bCs/>
          <w:color w:val="auto"/>
          <w:kern w:val="0"/>
          <w:position w:val="-6"/>
          <w:sz w:val="28"/>
          <w:szCs w:val="28"/>
          <w:highlight w:val="none"/>
        </w:rPr>
        <w:t>采购清单</w:t>
      </w:r>
    </w:p>
    <w:tbl>
      <w:tblPr>
        <w:tblStyle w:val="32"/>
        <w:tblW w:w="5129" w:type="pct"/>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996"/>
        <w:gridCol w:w="1322"/>
        <w:gridCol w:w="865"/>
        <w:gridCol w:w="703"/>
        <w:gridCol w:w="2451"/>
        <w:gridCol w:w="1721"/>
      </w:tblGrid>
      <w:tr w14:paraId="22A6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4D65E791">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序号</w:t>
            </w:r>
          </w:p>
        </w:tc>
        <w:tc>
          <w:tcPr>
            <w:tcW w:w="570" w:type="pct"/>
          </w:tcPr>
          <w:p w14:paraId="7269ACEE">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采购品类</w:t>
            </w:r>
          </w:p>
        </w:tc>
        <w:tc>
          <w:tcPr>
            <w:tcW w:w="756" w:type="pct"/>
          </w:tcPr>
          <w:p w14:paraId="61ADE734">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具体名称</w:t>
            </w:r>
          </w:p>
        </w:tc>
        <w:tc>
          <w:tcPr>
            <w:tcW w:w="495" w:type="pct"/>
          </w:tcPr>
          <w:p w14:paraId="639C8B9A">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数量</w:t>
            </w:r>
          </w:p>
        </w:tc>
        <w:tc>
          <w:tcPr>
            <w:tcW w:w="402" w:type="pct"/>
          </w:tcPr>
          <w:p w14:paraId="72735EB0">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单位</w:t>
            </w:r>
          </w:p>
        </w:tc>
        <w:tc>
          <w:tcPr>
            <w:tcW w:w="1402" w:type="pct"/>
          </w:tcPr>
          <w:p w14:paraId="1442CACC">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规格 / 技术要求</w:t>
            </w:r>
          </w:p>
        </w:tc>
        <w:tc>
          <w:tcPr>
            <w:tcW w:w="984" w:type="pct"/>
          </w:tcPr>
          <w:p w14:paraId="486F8504">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备注</w:t>
            </w:r>
          </w:p>
        </w:tc>
      </w:tr>
      <w:tr w14:paraId="4902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6FEFAC28">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一</w:t>
            </w:r>
          </w:p>
        </w:tc>
        <w:tc>
          <w:tcPr>
            <w:tcW w:w="570" w:type="pct"/>
          </w:tcPr>
          <w:p w14:paraId="5D82A414">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核心筛查服务</w:t>
            </w:r>
          </w:p>
        </w:tc>
        <w:tc>
          <w:tcPr>
            <w:tcW w:w="756" w:type="pct"/>
          </w:tcPr>
          <w:p w14:paraId="3E485BDC">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学生视力筛查服务</w:t>
            </w:r>
          </w:p>
        </w:tc>
        <w:tc>
          <w:tcPr>
            <w:tcW w:w="495" w:type="pct"/>
          </w:tcPr>
          <w:p w14:paraId="482C2C8E">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Hans" w:bidi="ar-SA"/>
              </w:rPr>
              <w:t>按需</w:t>
            </w:r>
          </w:p>
        </w:tc>
        <w:tc>
          <w:tcPr>
            <w:tcW w:w="402" w:type="pct"/>
          </w:tcPr>
          <w:p w14:paraId="59AEA36B">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人次</w:t>
            </w:r>
          </w:p>
        </w:tc>
        <w:tc>
          <w:tcPr>
            <w:tcW w:w="1402" w:type="pct"/>
          </w:tcPr>
          <w:p w14:paraId="5B053A7D">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 xml:space="preserve">含裸眼视力、矫正视力、屈光度、眼位检查，符合 </w:t>
            </w:r>
            <w:r>
              <w:rPr>
                <w:rFonts w:hint="eastAsia" w:ascii="宋体" w:hAnsi="宋体" w:eastAsia="宋体" w:cs="宋体"/>
                <w:color w:val="auto"/>
                <w:kern w:val="0"/>
                <w:sz w:val="20"/>
                <w:szCs w:val="20"/>
                <w:highlight w:val="none"/>
                <w:lang w:val="en-US" w:eastAsia="zh-CN" w:bidi="ar-SA"/>
              </w:rPr>
              <w:t>WS</w:t>
            </w:r>
            <w:r>
              <w:rPr>
                <w:rFonts w:hint="eastAsia" w:ascii="宋体" w:hAnsi="宋体" w:eastAsia="宋体" w:cs="宋体"/>
                <w:color w:val="auto"/>
                <w:kern w:val="0"/>
                <w:sz w:val="20"/>
                <w:szCs w:val="20"/>
                <w:highlight w:val="none"/>
                <w:lang w:val="en-US" w:eastAsia="zh-Hans" w:bidi="ar-SA"/>
              </w:rPr>
              <w:t xml:space="preserve">/T </w:t>
            </w:r>
            <w:r>
              <w:rPr>
                <w:rFonts w:hint="eastAsia" w:ascii="宋体" w:hAnsi="宋体" w:eastAsia="宋体" w:cs="宋体"/>
                <w:color w:val="auto"/>
                <w:kern w:val="0"/>
                <w:sz w:val="20"/>
                <w:szCs w:val="20"/>
                <w:highlight w:val="none"/>
                <w:lang w:val="en-US" w:eastAsia="zh-CN" w:bidi="ar-SA"/>
              </w:rPr>
              <w:t>10039-2025</w:t>
            </w:r>
            <w:r>
              <w:rPr>
                <w:rFonts w:hint="eastAsia" w:ascii="宋体" w:hAnsi="宋体" w:eastAsia="宋体" w:cs="宋体"/>
                <w:color w:val="auto"/>
                <w:kern w:val="0"/>
                <w:sz w:val="20"/>
                <w:szCs w:val="20"/>
                <w:highlight w:val="none"/>
                <w:lang w:val="en-US" w:eastAsia="zh-Hans" w:bidi="ar-SA"/>
              </w:rPr>
              <w:t xml:space="preserve"> 标准</w:t>
            </w:r>
          </w:p>
        </w:tc>
        <w:tc>
          <w:tcPr>
            <w:tcW w:w="984" w:type="pct"/>
          </w:tcPr>
          <w:p w14:paraId="0FE1B715">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Hans" w:bidi="ar-SA"/>
              </w:rPr>
              <w:t>覆盖全校所有学生</w:t>
            </w:r>
            <w:r>
              <w:rPr>
                <w:rFonts w:hint="eastAsia" w:ascii="宋体" w:hAnsi="宋体" w:cs="宋体"/>
                <w:color w:val="auto"/>
                <w:kern w:val="0"/>
                <w:sz w:val="20"/>
                <w:szCs w:val="20"/>
                <w:highlight w:val="none"/>
                <w:lang w:val="en-US" w:eastAsia="zh-CN" w:bidi="ar-SA"/>
              </w:rPr>
              <w:t>，预估4857人</w:t>
            </w:r>
          </w:p>
        </w:tc>
      </w:tr>
      <w:tr w14:paraId="3131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5AC18CAE">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1</w:t>
            </w:r>
          </w:p>
        </w:tc>
        <w:tc>
          <w:tcPr>
            <w:tcW w:w="570" w:type="pct"/>
          </w:tcPr>
          <w:p w14:paraId="71639003">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p>
        </w:tc>
        <w:tc>
          <w:tcPr>
            <w:tcW w:w="756" w:type="pct"/>
          </w:tcPr>
          <w:p w14:paraId="20976910">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视力异常复检服务</w:t>
            </w:r>
          </w:p>
        </w:tc>
        <w:tc>
          <w:tcPr>
            <w:tcW w:w="495" w:type="pct"/>
          </w:tcPr>
          <w:p w14:paraId="6C3F54EA">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按需</w:t>
            </w:r>
          </w:p>
        </w:tc>
        <w:tc>
          <w:tcPr>
            <w:tcW w:w="402" w:type="pct"/>
          </w:tcPr>
          <w:p w14:paraId="2B5DC266">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人次</w:t>
            </w:r>
          </w:p>
        </w:tc>
        <w:tc>
          <w:tcPr>
            <w:tcW w:w="1402" w:type="pct"/>
          </w:tcPr>
          <w:p w14:paraId="079C9CB4">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针对初筛异常者，复检项目与初筛一致</w:t>
            </w:r>
          </w:p>
        </w:tc>
        <w:tc>
          <w:tcPr>
            <w:tcW w:w="984" w:type="pct"/>
          </w:tcPr>
          <w:p w14:paraId="11BBC1E7">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15 日内完成</w:t>
            </w:r>
          </w:p>
        </w:tc>
      </w:tr>
      <w:tr w14:paraId="2300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4427557C">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2</w:t>
            </w:r>
          </w:p>
        </w:tc>
        <w:tc>
          <w:tcPr>
            <w:tcW w:w="570" w:type="pct"/>
          </w:tcPr>
          <w:p w14:paraId="0609BB99">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p>
        </w:tc>
        <w:tc>
          <w:tcPr>
            <w:tcW w:w="756" w:type="pct"/>
          </w:tcPr>
          <w:p w14:paraId="219E3410">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视力健康档案制作服务</w:t>
            </w:r>
          </w:p>
        </w:tc>
        <w:tc>
          <w:tcPr>
            <w:tcW w:w="495" w:type="pct"/>
          </w:tcPr>
          <w:p w14:paraId="42A79034">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Hans" w:bidi="ar-SA"/>
              </w:rPr>
              <w:t>按需</w:t>
            </w:r>
          </w:p>
        </w:tc>
        <w:tc>
          <w:tcPr>
            <w:tcW w:w="402" w:type="pct"/>
          </w:tcPr>
          <w:p w14:paraId="3A826A88">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份</w:t>
            </w:r>
          </w:p>
        </w:tc>
        <w:tc>
          <w:tcPr>
            <w:tcW w:w="1402" w:type="pct"/>
          </w:tcPr>
          <w:p w14:paraId="31CCC13D">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含纸质版报告（每人 1 份）+ 电子版档案（汇总版）</w:t>
            </w:r>
          </w:p>
        </w:tc>
        <w:tc>
          <w:tcPr>
            <w:tcW w:w="984" w:type="pct"/>
          </w:tcPr>
          <w:p w14:paraId="54154AA0">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纸质版需含结果解读及护眼建议</w:t>
            </w:r>
          </w:p>
        </w:tc>
      </w:tr>
      <w:tr w14:paraId="099E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0881C0F5">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3</w:t>
            </w:r>
          </w:p>
        </w:tc>
        <w:tc>
          <w:tcPr>
            <w:tcW w:w="570" w:type="pct"/>
          </w:tcPr>
          <w:p w14:paraId="5392FDCE">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p>
        </w:tc>
        <w:tc>
          <w:tcPr>
            <w:tcW w:w="756" w:type="pct"/>
          </w:tcPr>
          <w:p w14:paraId="1BD1D6EC">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教育局系统数据对接服务</w:t>
            </w:r>
          </w:p>
        </w:tc>
        <w:tc>
          <w:tcPr>
            <w:tcW w:w="495" w:type="pct"/>
          </w:tcPr>
          <w:p w14:paraId="78C99438">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1</w:t>
            </w:r>
          </w:p>
        </w:tc>
        <w:tc>
          <w:tcPr>
            <w:tcW w:w="402" w:type="pct"/>
          </w:tcPr>
          <w:p w14:paraId="7DE71628">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项</w:t>
            </w:r>
          </w:p>
        </w:tc>
        <w:tc>
          <w:tcPr>
            <w:tcW w:w="1402" w:type="pct"/>
          </w:tcPr>
          <w:p w14:paraId="69506C71">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支持电子版档案直接导入龙泉驿区教育局视力监测系统</w:t>
            </w:r>
          </w:p>
        </w:tc>
        <w:tc>
          <w:tcPr>
            <w:tcW w:w="984" w:type="pct"/>
          </w:tcPr>
          <w:p w14:paraId="6604B4B2">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确保上报通过</w:t>
            </w:r>
          </w:p>
        </w:tc>
      </w:tr>
      <w:tr w14:paraId="5265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1071C91E">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4</w:t>
            </w:r>
          </w:p>
        </w:tc>
        <w:tc>
          <w:tcPr>
            <w:tcW w:w="570" w:type="pct"/>
          </w:tcPr>
          <w:p w14:paraId="1BCE4F1C">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p>
        </w:tc>
        <w:tc>
          <w:tcPr>
            <w:tcW w:w="756" w:type="pct"/>
          </w:tcPr>
          <w:p w14:paraId="5150E64A">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校内护眼科普讲座</w:t>
            </w:r>
          </w:p>
        </w:tc>
        <w:tc>
          <w:tcPr>
            <w:tcW w:w="495" w:type="pct"/>
          </w:tcPr>
          <w:p w14:paraId="54797776">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Hans" w:bidi="ar-SA"/>
              </w:rPr>
              <w:t>1</w:t>
            </w:r>
          </w:p>
        </w:tc>
        <w:tc>
          <w:tcPr>
            <w:tcW w:w="402" w:type="pct"/>
          </w:tcPr>
          <w:p w14:paraId="2BB7088A">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场</w:t>
            </w:r>
          </w:p>
        </w:tc>
        <w:tc>
          <w:tcPr>
            <w:tcW w:w="1402" w:type="pct"/>
          </w:tcPr>
          <w:p w14:paraId="0B22C22F">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时长60分钟，面向</w:t>
            </w:r>
            <w:r>
              <w:rPr>
                <w:rFonts w:hint="eastAsia" w:ascii="宋体" w:hAnsi="宋体" w:eastAsia="宋体" w:cs="宋体"/>
                <w:color w:val="auto"/>
                <w:kern w:val="0"/>
                <w:sz w:val="20"/>
                <w:szCs w:val="20"/>
                <w:highlight w:val="none"/>
                <w:lang w:val="en-US" w:eastAsia="zh-CN" w:bidi="ar-SA"/>
              </w:rPr>
              <w:t>学</w:t>
            </w:r>
            <w:r>
              <w:rPr>
                <w:rFonts w:hint="eastAsia" w:ascii="宋体" w:hAnsi="宋体" w:eastAsia="宋体" w:cs="宋体"/>
                <w:color w:val="auto"/>
                <w:kern w:val="0"/>
                <w:sz w:val="20"/>
                <w:szCs w:val="20"/>
                <w:highlight w:val="none"/>
                <w:lang w:val="en-US" w:eastAsia="zh-Hans" w:bidi="ar-SA"/>
              </w:rPr>
              <w:t>生</w:t>
            </w:r>
            <w:r>
              <w:rPr>
                <w:rFonts w:hint="eastAsia" w:ascii="宋体" w:hAnsi="宋体" w:eastAsia="宋体" w:cs="宋体"/>
                <w:color w:val="auto"/>
                <w:kern w:val="0"/>
                <w:sz w:val="20"/>
                <w:szCs w:val="20"/>
                <w:highlight w:val="none"/>
                <w:lang w:val="en-US" w:eastAsia="zh-CN" w:bidi="ar-SA"/>
              </w:rPr>
              <w:t>，</w:t>
            </w:r>
            <w:r>
              <w:rPr>
                <w:rFonts w:hint="eastAsia" w:ascii="宋体" w:hAnsi="宋体" w:eastAsia="宋体" w:cs="宋体"/>
                <w:color w:val="auto"/>
                <w:kern w:val="0"/>
                <w:sz w:val="20"/>
                <w:szCs w:val="20"/>
                <w:highlight w:val="none"/>
                <w:lang w:val="en-US" w:eastAsia="zh-Hans" w:bidi="ar-SA"/>
              </w:rPr>
              <w:t>互动答疑</w:t>
            </w:r>
          </w:p>
        </w:tc>
        <w:tc>
          <w:tcPr>
            <w:tcW w:w="984" w:type="pct"/>
          </w:tcPr>
          <w:p w14:paraId="7AC7A93C">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筛查后10个工作日内开展</w:t>
            </w:r>
          </w:p>
        </w:tc>
      </w:tr>
      <w:tr w14:paraId="1D8C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7D26685B">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二</w:t>
            </w:r>
          </w:p>
        </w:tc>
        <w:tc>
          <w:tcPr>
            <w:tcW w:w="570" w:type="pct"/>
          </w:tcPr>
          <w:p w14:paraId="3D7B9971">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筛查耗材（机构供应</w:t>
            </w:r>
          </w:p>
        </w:tc>
        <w:tc>
          <w:tcPr>
            <w:tcW w:w="756" w:type="pct"/>
          </w:tcPr>
          <w:p w14:paraId="108B7F9F">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一次性验光试镜纸</w:t>
            </w:r>
          </w:p>
        </w:tc>
        <w:tc>
          <w:tcPr>
            <w:tcW w:w="495" w:type="pct"/>
          </w:tcPr>
          <w:p w14:paraId="0E774180">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Hans" w:bidi="ar-SA"/>
              </w:rPr>
              <w:t>按需</w:t>
            </w:r>
          </w:p>
        </w:tc>
        <w:tc>
          <w:tcPr>
            <w:tcW w:w="402" w:type="pct"/>
          </w:tcPr>
          <w:p w14:paraId="7A5E7EB6">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片</w:t>
            </w:r>
          </w:p>
        </w:tc>
        <w:tc>
          <w:tcPr>
            <w:tcW w:w="1402" w:type="pct"/>
          </w:tcPr>
          <w:p w14:paraId="66262210">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无菌独立包装，无异味、无有害物质</w:t>
            </w:r>
          </w:p>
        </w:tc>
        <w:tc>
          <w:tcPr>
            <w:tcW w:w="984" w:type="pct"/>
          </w:tcPr>
          <w:p w14:paraId="2CAB1D09">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按实际筛查人数120%备货</w:t>
            </w:r>
          </w:p>
        </w:tc>
      </w:tr>
      <w:tr w14:paraId="1460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4EDE5EC0">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1</w:t>
            </w:r>
          </w:p>
        </w:tc>
        <w:tc>
          <w:tcPr>
            <w:tcW w:w="570" w:type="pct"/>
          </w:tcPr>
          <w:p w14:paraId="685BAB07">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p>
        </w:tc>
        <w:tc>
          <w:tcPr>
            <w:tcW w:w="756" w:type="pct"/>
          </w:tcPr>
          <w:p w14:paraId="4F72C265">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硅胶遮眼板</w:t>
            </w:r>
          </w:p>
        </w:tc>
        <w:tc>
          <w:tcPr>
            <w:tcW w:w="495" w:type="pct"/>
          </w:tcPr>
          <w:p w14:paraId="036D5BC8">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Hans" w:bidi="ar-SA"/>
              </w:rPr>
              <w:t>按需</w:t>
            </w:r>
          </w:p>
        </w:tc>
        <w:tc>
          <w:tcPr>
            <w:tcW w:w="402" w:type="pct"/>
          </w:tcPr>
          <w:p w14:paraId="3796F7FA">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个</w:t>
            </w:r>
          </w:p>
        </w:tc>
        <w:tc>
          <w:tcPr>
            <w:tcW w:w="1402" w:type="pct"/>
          </w:tcPr>
          <w:p w14:paraId="13311829">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柔软防滑，独立包装，一次性使用</w:t>
            </w:r>
          </w:p>
        </w:tc>
        <w:tc>
          <w:tcPr>
            <w:tcW w:w="984" w:type="pct"/>
          </w:tcPr>
          <w:p w14:paraId="6AFB980F">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一人一用，避免交叉感染</w:t>
            </w:r>
          </w:p>
          <w:p w14:paraId="19A86C31">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120%备货</w:t>
            </w:r>
          </w:p>
        </w:tc>
      </w:tr>
      <w:tr w14:paraId="1925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6DD4D98C">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2</w:t>
            </w:r>
          </w:p>
        </w:tc>
        <w:tc>
          <w:tcPr>
            <w:tcW w:w="570" w:type="pct"/>
          </w:tcPr>
          <w:p w14:paraId="31FCA777">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p>
        </w:tc>
        <w:tc>
          <w:tcPr>
            <w:tcW w:w="756" w:type="pct"/>
          </w:tcPr>
          <w:p w14:paraId="263D99B3">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消毒湿巾</w:t>
            </w:r>
          </w:p>
        </w:tc>
        <w:tc>
          <w:tcPr>
            <w:tcW w:w="495" w:type="pct"/>
          </w:tcPr>
          <w:p w14:paraId="1B31F329">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Hans" w:bidi="ar-SA"/>
              </w:rPr>
              <w:t>按需</w:t>
            </w:r>
          </w:p>
        </w:tc>
        <w:tc>
          <w:tcPr>
            <w:tcW w:w="402" w:type="pct"/>
          </w:tcPr>
          <w:p w14:paraId="7EBFE359">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包</w:t>
            </w:r>
          </w:p>
        </w:tc>
        <w:tc>
          <w:tcPr>
            <w:tcW w:w="1402" w:type="pct"/>
          </w:tcPr>
          <w:p w14:paraId="779C09DD">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酒精含量75%，无刺激，符合医疗卫生标准</w:t>
            </w:r>
          </w:p>
        </w:tc>
        <w:tc>
          <w:tcPr>
            <w:tcW w:w="984" w:type="pct"/>
          </w:tcPr>
          <w:p w14:paraId="752EE823">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用于设备及手部消毒</w:t>
            </w:r>
          </w:p>
        </w:tc>
      </w:tr>
      <w:tr w14:paraId="3C5D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2C284046">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3</w:t>
            </w:r>
          </w:p>
        </w:tc>
        <w:tc>
          <w:tcPr>
            <w:tcW w:w="570" w:type="pct"/>
          </w:tcPr>
          <w:p w14:paraId="195F9A71">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p>
        </w:tc>
        <w:tc>
          <w:tcPr>
            <w:tcW w:w="756" w:type="pct"/>
          </w:tcPr>
          <w:p w14:paraId="5F38F7EA">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视力筛查记录单</w:t>
            </w:r>
          </w:p>
        </w:tc>
        <w:tc>
          <w:tcPr>
            <w:tcW w:w="495" w:type="pct"/>
          </w:tcPr>
          <w:p w14:paraId="3B5B650E">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Hans" w:bidi="ar-SA"/>
              </w:rPr>
              <w:t>按需</w:t>
            </w:r>
          </w:p>
        </w:tc>
        <w:tc>
          <w:tcPr>
            <w:tcW w:w="402" w:type="pct"/>
          </w:tcPr>
          <w:p w14:paraId="545F3688">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张</w:t>
            </w:r>
          </w:p>
        </w:tc>
        <w:tc>
          <w:tcPr>
            <w:tcW w:w="1402" w:type="pct"/>
          </w:tcPr>
          <w:p w14:paraId="15D5FD6A">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A4 规格，含基础信息、检测项目、结果填写栏</w:t>
            </w:r>
          </w:p>
        </w:tc>
        <w:tc>
          <w:tcPr>
            <w:tcW w:w="984" w:type="pct"/>
          </w:tcPr>
          <w:p w14:paraId="1221BC4E">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纸质顺滑，便于书写</w:t>
            </w:r>
            <w:r>
              <w:rPr>
                <w:rFonts w:hint="eastAsia" w:ascii="宋体" w:hAnsi="宋体" w:eastAsia="宋体" w:cs="宋体"/>
                <w:color w:val="auto"/>
                <w:kern w:val="0"/>
                <w:sz w:val="20"/>
                <w:szCs w:val="20"/>
                <w:highlight w:val="none"/>
                <w:lang w:val="en-US" w:eastAsia="zh-CN" w:bidi="ar-SA"/>
              </w:rPr>
              <w:t>、</w:t>
            </w:r>
            <w:r>
              <w:rPr>
                <w:rFonts w:hint="eastAsia" w:ascii="宋体" w:hAnsi="宋体" w:eastAsia="宋体" w:cs="宋体"/>
                <w:color w:val="auto"/>
                <w:kern w:val="0"/>
                <w:sz w:val="20"/>
                <w:szCs w:val="20"/>
                <w:highlight w:val="none"/>
                <w:lang w:val="en-US" w:eastAsia="zh-Hans" w:bidi="ar-SA"/>
              </w:rPr>
              <w:t>120% 备货</w:t>
            </w:r>
          </w:p>
        </w:tc>
      </w:tr>
      <w:tr w14:paraId="0E06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0D007461">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三</w:t>
            </w:r>
          </w:p>
        </w:tc>
        <w:tc>
          <w:tcPr>
            <w:tcW w:w="570" w:type="pct"/>
          </w:tcPr>
          <w:p w14:paraId="6A7AB75C">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现场辅助物资（机构供应）</w:t>
            </w:r>
          </w:p>
        </w:tc>
        <w:tc>
          <w:tcPr>
            <w:tcW w:w="756" w:type="pct"/>
          </w:tcPr>
          <w:p w14:paraId="26051366">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可移动筛查隔断/帐篷</w:t>
            </w:r>
          </w:p>
        </w:tc>
        <w:tc>
          <w:tcPr>
            <w:tcW w:w="495" w:type="pct"/>
          </w:tcPr>
          <w:p w14:paraId="052946A3">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按需</w:t>
            </w:r>
          </w:p>
        </w:tc>
        <w:tc>
          <w:tcPr>
            <w:tcW w:w="402" w:type="pct"/>
          </w:tcPr>
          <w:p w14:paraId="33152D37">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个</w:t>
            </w:r>
          </w:p>
        </w:tc>
        <w:tc>
          <w:tcPr>
            <w:tcW w:w="1402" w:type="pct"/>
          </w:tcPr>
          <w:p w14:paraId="2F7C0085">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高度≥1.8米，宽度≥1.5米，隐私性强，易搭建</w:t>
            </w:r>
          </w:p>
        </w:tc>
        <w:tc>
          <w:tcPr>
            <w:tcW w:w="984" w:type="pct"/>
          </w:tcPr>
          <w:p w14:paraId="33B81DD7">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划分独立筛查区域</w:t>
            </w:r>
          </w:p>
        </w:tc>
      </w:tr>
      <w:tr w14:paraId="3698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6C62D11E">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1</w:t>
            </w:r>
          </w:p>
        </w:tc>
        <w:tc>
          <w:tcPr>
            <w:tcW w:w="570" w:type="pct"/>
          </w:tcPr>
          <w:p w14:paraId="2868A14F">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p>
        </w:tc>
        <w:tc>
          <w:tcPr>
            <w:tcW w:w="756" w:type="pct"/>
          </w:tcPr>
          <w:p w14:paraId="3664DA56">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护眼照明设备</w:t>
            </w:r>
          </w:p>
        </w:tc>
        <w:tc>
          <w:tcPr>
            <w:tcW w:w="495" w:type="pct"/>
          </w:tcPr>
          <w:p w14:paraId="5E27CF5A">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按需</w:t>
            </w:r>
          </w:p>
        </w:tc>
        <w:tc>
          <w:tcPr>
            <w:tcW w:w="402" w:type="pct"/>
          </w:tcPr>
          <w:p w14:paraId="422AD0A1">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台</w:t>
            </w:r>
          </w:p>
        </w:tc>
        <w:tc>
          <w:tcPr>
            <w:tcW w:w="1402" w:type="pct"/>
          </w:tcPr>
          <w:p w14:paraId="48342527">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LED冷光源，亮度500-1000lux，无频闪、无蓝光危害</w:t>
            </w:r>
          </w:p>
        </w:tc>
        <w:tc>
          <w:tcPr>
            <w:tcW w:w="984" w:type="pct"/>
          </w:tcPr>
          <w:p w14:paraId="64FE6A4F">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保障筛查场地光线稳定</w:t>
            </w:r>
          </w:p>
        </w:tc>
      </w:tr>
      <w:tr w14:paraId="20C2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3E43631F">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2</w:t>
            </w:r>
          </w:p>
        </w:tc>
        <w:tc>
          <w:tcPr>
            <w:tcW w:w="570" w:type="pct"/>
          </w:tcPr>
          <w:p w14:paraId="5FF92463">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p>
        </w:tc>
        <w:tc>
          <w:tcPr>
            <w:tcW w:w="756" w:type="pct"/>
          </w:tcPr>
          <w:p w14:paraId="583997CF">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等待区座椅</w:t>
            </w:r>
          </w:p>
        </w:tc>
        <w:tc>
          <w:tcPr>
            <w:tcW w:w="495" w:type="pct"/>
          </w:tcPr>
          <w:p w14:paraId="18E92FD7">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按需</w:t>
            </w:r>
          </w:p>
        </w:tc>
        <w:tc>
          <w:tcPr>
            <w:tcW w:w="402" w:type="pct"/>
          </w:tcPr>
          <w:p w14:paraId="6CE471E1">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把</w:t>
            </w:r>
          </w:p>
        </w:tc>
        <w:tc>
          <w:tcPr>
            <w:tcW w:w="1402" w:type="pct"/>
          </w:tcPr>
          <w:p w14:paraId="7E7C04BD">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折叠式，承重≥100kg，舒适耐用</w:t>
            </w:r>
          </w:p>
        </w:tc>
        <w:tc>
          <w:tcPr>
            <w:tcW w:w="984" w:type="pct"/>
          </w:tcPr>
          <w:p w14:paraId="57856E6F">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供师生等候使用</w:t>
            </w:r>
          </w:p>
        </w:tc>
      </w:tr>
      <w:tr w14:paraId="372C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549D9EA6">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3</w:t>
            </w:r>
          </w:p>
        </w:tc>
        <w:tc>
          <w:tcPr>
            <w:tcW w:w="570" w:type="pct"/>
          </w:tcPr>
          <w:p w14:paraId="2139525C">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p>
        </w:tc>
        <w:tc>
          <w:tcPr>
            <w:tcW w:w="756" w:type="pct"/>
          </w:tcPr>
          <w:p w14:paraId="3D2BC3C2">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流程指引牌</w:t>
            </w:r>
          </w:p>
        </w:tc>
        <w:tc>
          <w:tcPr>
            <w:tcW w:w="495" w:type="pct"/>
          </w:tcPr>
          <w:p w14:paraId="21F81079">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Hans" w:bidi="ar-SA"/>
              </w:rPr>
              <w:t>按需</w:t>
            </w:r>
          </w:p>
        </w:tc>
        <w:tc>
          <w:tcPr>
            <w:tcW w:w="402" w:type="pct"/>
          </w:tcPr>
          <w:p w14:paraId="1956077C">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个</w:t>
            </w:r>
          </w:p>
        </w:tc>
        <w:tc>
          <w:tcPr>
            <w:tcW w:w="1402" w:type="pct"/>
          </w:tcPr>
          <w:p w14:paraId="60614B06">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≥30cm×50cm，图文清晰，可立放</w:t>
            </w:r>
          </w:p>
        </w:tc>
        <w:tc>
          <w:tcPr>
            <w:tcW w:w="984" w:type="pct"/>
          </w:tcPr>
          <w:p w14:paraId="5973E1FE">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标注登记区、筛查区、等待区等指引</w:t>
            </w:r>
          </w:p>
        </w:tc>
      </w:tr>
      <w:tr w14:paraId="721F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7DB91023">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4</w:t>
            </w:r>
          </w:p>
        </w:tc>
        <w:tc>
          <w:tcPr>
            <w:tcW w:w="570" w:type="pct"/>
          </w:tcPr>
          <w:p w14:paraId="53FB60CF">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p>
        </w:tc>
        <w:tc>
          <w:tcPr>
            <w:tcW w:w="756" w:type="pct"/>
          </w:tcPr>
          <w:p w14:paraId="3EB4B0B0">
            <w:pPr>
              <w:pStyle w:val="11"/>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急救箱（含药品）</w:t>
            </w:r>
          </w:p>
          <w:p w14:paraId="63F5DBAC">
            <w:pPr>
              <w:pStyle w:val="11"/>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CN" w:bidi="ar-SA"/>
              </w:rPr>
              <w:t>成交供应商在签订合同后提供相关注册备案凭证。</w:t>
            </w:r>
          </w:p>
        </w:tc>
        <w:tc>
          <w:tcPr>
            <w:tcW w:w="495" w:type="pct"/>
          </w:tcPr>
          <w:p w14:paraId="626B159D">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1</w:t>
            </w:r>
          </w:p>
        </w:tc>
        <w:tc>
          <w:tcPr>
            <w:tcW w:w="402" w:type="pct"/>
          </w:tcPr>
          <w:p w14:paraId="2D01B0DA">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个</w:t>
            </w:r>
          </w:p>
        </w:tc>
        <w:tc>
          <w:tcPr>
            <w:tcW w:w="1402" w:type="pct"/>
          </w:tcPr>
          <w:p w14:paraId="02197CED">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含常用眼科药品（人工泪液、消炎滴眼液）、止血贴、消毒棉签等</w:t>
            </w:r>
          </w:p>
        </w:tc>
        <w:tc>
          <w:tcPr>
            <w:tcW w:w="984" w:type="pct"/>
          </w:tcPr>
          <w:p w14:paraId="6992521B">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应对现场突发眼部不适</w:t>
            </w:r>
          </w:p>
        </w:tc>
      </w:tr>
      <w:tr w14:paraId="7CA9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439A1DCE">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四</w:t>
            </w:r>
          </w:p>
        </w:tc>
        <w:tc>
          <w:tcPr>
            <w:tcW w:w="570" w:type="pct"/>
          </w:tcPr>
          <w:p w14:paraId="6B138A89">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其他保障服务</w:t>
            </w:r>
          </w:p>
        </w:tc>
        <w:tc>
          <w:tcPr>
            <w:tcW w:w="756" w:type="pct"/>
          </w:tcPr>
          <w:p w14:paraId="4E97E3C0">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设备运输及校准服务</w:t>
            </w:r>
          </w:p>
        </w:tc>
        <w:tc>
          <w:tcPr>
            <w:tcW w:w="495" w:type="pct"/>
          </w:tcPr>
          <w:p w14:paraId="1634CB16">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1</w:t>
            </w:r>
          </w:p>
        </w:tc>
        <w:tc>
          <w:tcPr>
            <w:tcW w:w="402" w:type="pct"/>
          </w:tcPr>
          <w:p w14:paraId="3DA3B2E0">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项</w:t>
            </w:r>
          </w:p>
        </w:tc>
        <w:tc>
          <w:tcPr>
            <w:tcW w:w="1402" w:type="pct"/>
          </w:tcPr>
          <w:p w14:paraId="6303A3B4">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机构负责自带设备的运输、安装、现场校准</w:t>
            </w:r>
          </w:p>
        </w:tc>
        <w:tc>
          <w:tcPr>
            <w:tcW w:w="984" w:type="pct"/>
          </w:tcPr>
          <w:p w14:paraId="21A7A2B5">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确保设备检测精度达标</w:t>
            </w:r>
          </w:p>
        </w:tc>
      </w:tr>
      <w:tr w14:paraId="7B46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14:paraId="57966853">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1</w:t>
            </w:r>
          </w:p>
        </w:tc>
        <w:tc>
          <w:tcPr>
            <w:tcW w:w="570" w:type="pct"/>
          </w:tcPr>
          <w:p w14:paraId="3966F289">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p>
        </w:tc>
        <w:tc>
          <w:tcPr>
            <w:tcW w:w="756" w:type="pct"/>
          </w:tcPr>
          <w:p w14:paraId="1CCEECED">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数据留存及查询服务</w:t>
            </w:r>
          </w:p>
        </w:tc>
        <w:tc>
          <w:tcPr>
            <w:tcW w:w="495" w:type="pct"/>
          </w:tcPr>
          <w:p w14:paraId="03504413">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3</w:t>
            </w:r>
          </w:p>
        </w:tc>
        <w:tc>
          <w:tcPr>
            <w:tcW w:w="402" w:type="pct"/>
          </w:tcPr>
          <w:p w14:paraId="08E9C8C0">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年</w:t>
            </w:r>
          </w:p>
        </w:tc>
        <w:tc>
          <w:tcPr>
            <w:tcW w:w="1402" w:type="pct"/>
          </w:tcPr>
          <w:p w14:paraId="007DEB2C">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提供档案查询、数据补打服务</w:t>
            </w:r>
            <w:r>
              <w:rPr>
                <w:rFonts w:hint="eastAsia" w:ascii="宋体" w:hAnsi="宋体" w:eastAsia="宋体" w:cs="宋体"/>
                <w:color w:val="auto"/>
                <w:kern w:val="0"/>
                <w:sz w:val="20"/>
                <w:szCs w:val="20"/>
                <w:highlight w:val="none"/>
                <w:lang w:val="en-US" w:eastAsia="zh-CN" w:bidi="ar-SA"/>
              </w:rPr>
              <w:t>，相关费用包含在本项目报价中。</w:t>
            </w:r>
          </w:p>
        </w:tc>
        <w:tc>
          <w:tcPr>
            <w:tcW w:w="984" w:type="pct"/>
          </w:tcPr>
          <w:p w14:paraId="52D505BB">
            <w:pPr>
              <w:keepNext w:val="0"/>
              <w:keepLines w:val="0"/>
              <w:pageBreakBefore w:val="0"/>
              <w:kinsoku/>
              <w:wordWrap/>
              <w:overflowPunct/>
              <w:topLinePunct w:val="0"/>
              <w:autoSpaceDE/>
              <w:autoSpaceDN/>
              <w:bidi w:val="0"/>
              <w:adjustRightInd w:val="0"/>
              <w:snapToGrid w:val="0"/>
              <w:spacing w:line="578" w:lineRule="exact"/>
              <w:jc w:val="center"/>
              <w:textAlignment w:val="auto"/>
              <w:rPr>
                <w:rFonts w:hint="eastAsia" w:ascii="宋体" w:hAnsi="宋体" w:eastAsia="宋体" w:cs="宋体"/>
                <w:color w:val="auto"/>
                <w:kern w:val="0"/>
                <w:sz w:val="20"/>
                <w:szCs w:val="20"/>
                <w:highlight w:val="none"/>
                <w:lang w:val="en-US" w:eastAsia="zh-Hans" w:bidi="ar-SA"/>
              </w:rPr>
            </w:pPr>
            <w:r>
              <w:rPr>
                <w:rFonts w:hint="eastAsia" w:ascii="宋体" w:hAnsi="宋体" w:eastAsia="宋体" w:cs="宋体"/>
                <w:color w:val="auto"/>
                <w:kern w:val="0"/>
                <w:sz w:val="20"/>
                <w:szCs w:val="20"/>
                <w:highlight w:val="none"/>
                <w:lang w:val="en-US" w:eastAsia="zh-Hans" w:bidi="ar-SA"/>
              </w:rPr>
              <w:t>需加密存储，保障隐私</w:t>
            </w:r>
          </w:p>
        </w:tc>
      </w:tr>
    </w:tbl>
    <w:p w14:paraId="653B20CB">
      <w:pPr>
        <w:spacing w:after="0" w:line="240" w:lineRule="auto"/>
        <w:jc w:val="left"/>
        <w:rPr>
          <w:rFonts w:hint="eastAsia" w:ascii="宋体" w:hAnsi="宋体" w:eastAsia="宋体" w:cs="宋体"/>
          <w:color w:val="auto"/>
          <w:sz w:val="28"/>
          <w:szCs w:val="28"/>
          <w:highlight w:val="none"/>
        </w:rPr>
      </w:pPr>
    </w:p>
    <w:p w14:paraId="5AC53026">
      <w:pPr>
        <w:spacing w:after="0" w:line="240" w:lineRule="auto"/>
        <w:jc w:val="left"/>
        <w:rPr>
          <w:rFonts w:hint="eastAsia" w:ascii="宋体" w:hAnsi="宋体" w:eastAsia="宋体" w:cs="宋体"/>
          <w:color w:val="auto"/>
          <w:sz w:val="28"/>
          <w:szCs w:val="28"/>
          <w:highlight w:val="none"/>
        </w:rPr>
      </w:pPr>
    </w:p>
    <w:p w14:paraId="723CA149">
      <w:pPr>
        <w:pStyle w:val="2"/>
        <w:rPr>
          <w:rFonts w:hint="eastAsia"/>
          <w:color w:val="auto"/>
          <w:highlight w:val="none"/>
        </w:rPr>
      </w:pPr>
    </w:p>
    <w:p w14:paraId="59080B07">
      <w:pPr>
        <w:spacing w:after="0"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2.服务要求</w:t>
      </w:r>
    </w:p>
    <w:tbl>
      <w:tblPr>
        <w:tblStyle w:val="31"/>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88"/>
        <w:gridCol w:w="1051"/>
        <w:gridCol w:w="1051"/>
        <w:gridCol w:w="5924"/>
      </w:tblGrid>
      <w:tr w14:paraId="2062F7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7" w:type="pct"/>
          </w:tcPr>
          <w:p w14:paraId="249BF1BF">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序号</w:t>
            </w:r>
          </w:p>
        </w:tc>
        <w:tc>
          <w:tcPr>
            <w:tcW w:w="617" w:type="pct"/>
          </w:tcPr>
          <w:p w14:paraId="15A29EAD">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符号标识</w:t>
            </w:r>
          </w:p>
        </w:tc>
        <w:tc>
          <w:tcPr>
            <w:tcW w:w="617" w:type="pct"/>
          </w:tcPr>
          <w:p w14:paraId="0D95FCF0">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服务要求名称</w:t>
            </w:r>
          </w:p>
        </w:tc>
        <w:tc>
          <w:tcPr>
            <w:tcW w:w="3478" w:type="pct"/>
          </w:tcPr>
          <w:p w14:paraId="4E1540C7">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服务要求内容</w:t>
            </w:r>
          </w:p>
        </w:tc>
      </w:tr>
      <w:tr w14:paraId="5163F1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7" w:type="pct"/>
          </w:tcPr>
          <w:p w14:paraId="347B5217">
            <w:pPr>
              <w:pStyle w:val="73"/>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617" w:type="pct"/>
          </w:tcPr>
          <w:p w14:paraId="2B2B7E39">
            <w:pPr>
              <w:pStyle w:val="73"/>
              <w:rPr>
                <w:rFonts w:hint="eastAsia"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t>★</w:t>
            </w:r>
          </w:p>
        </w:tc>
        <w:tc>
          <w:tcPr>
            <w:tcW w:w="617" w:type="pct"/>
          </w:tcPr>
          <w:p w14:paraId="1218624B">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服务保障</w:t>
            </w:r>
          </w:p>
        </w:tc>
        <w:tc>
          <w:tcPr>
            <w:tcW w:w="3478" w:type="pct"/>
          </w:tcPr>
          <w:p w14:paraId="78D248C7">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筛查现场配备每组（约8组）至少1名医护人员和1名数据录入员，负责秩序维护、答疑及应急处理；筛查人员（一名医护人员）需持眼科执业医师证或视光师资格证，且有3年以上校园视力筛查经验（筛查人员需持眼科执业医师证或视光师资格证（提供证书复印件并加盖鲜章）。</w:t>
            </w:r>
          </w:p>
          <w:p w14:paraId="436D8873">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筛查结束后3个工作日内交付纸质报告，5个工作日内交付电子版档案及数据对接支持。</w:t>
            </w:r>
          </w:p>
          <w:p w14:paraId="38DD62A3">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提供复检服务，相关复检服务费用包含在本项目中</w:t>
            </w:r>
          </w:p>
          <w:p w14:paraId="3F129CD7">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（针对筛查结果异常者，15 日内完成复检）。</w:t>
            </w:r>
          </w:p>
          <w:p w14:paraId="2AE2C8A9">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筛查后10个工作日内安排一场校内护眼科普讲座（面向师生及家长）。</w:t>
            </w:r>
          </w:p>
        </w:tc>
      </w:tr>
      <w:tr w14:paraId="3A9491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7" w:type="pct"/>
          </w:tcPr>
          <w:p w14:paraId="697D4602">
            <w:pPr>
              <w:pStyle w:val="73"/>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617" w:type="pct"/>
          </w:tcPr>
          <w:p w14:paraId="456631BC">
            <w:pPr>
              <w:pStyle w:val="73"/>
              <w:rPr>
                <w:rFonts w:hint="eastAsia"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t>★</w:t>
            </w:r>
          </w:p>
        </w:tc>
        <w:tc>
          <w:tcPr>
            <w:tcW w:w="617" w:type="pct"/>
          </w:tcPr>
          <w:p w14:paraId="5EC8D473">
            <w:pPr>
              <w:pStyle w:val="7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售后要求</w:t>
            </w:r>
          </w:p>
        </w:tc>
        <w:tc>
          <w:tcPr>
            <w:tcW w:w="3478" w:type="pct"/>
          </w:tcPr>
          <w:p w14:paraId="0896CC81">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数据保留3年，期间提供档案查询、数据补打服务，相关费用包含在本项目报价中；</w:t>
            </w:r>
          </w:p>
          <w:p w14:paraId="54EC5EAD">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若因筛查数据误差导致上报失败，需在3个工作日内重新筛查并修正数据。</w:t>
            </w:r>
          </w:p>
        </w:tc>
      </w:tr>
      <w:tr w14:paraId="66C140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7" w:type="pct"/>
          </w:tcPr>
          <w:p w14:paraId="67D8EF19">
            <w:pPr>
              <w:pStyle w:val="73"/>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c>
          <w:tcPr>
            <w:tcW w:w="617" w:type="pct"/>
          </w:tcPr>
          <w:p w14:paraId="34A9FC1D">
            <w:pPr>
              <w:pStyle w:val="73"/>
              <w:rPr>
                <w:rFonts w:hint="eastAsia" w:ascii="宋体" w:hAnsi="宋体" w:eastAsia="宋体" w:cs="宋体"/>
                <w:color w:val="auto"/>
                <w:sz w:val="24"/>
                <w:szCs w:val="24"/>
                <w:highlight w:val="none"/>
                <w:lang w:val="en-US" w:eastAsia="zh-CN"/>
              </w:rPr>
            </w:pPr>
          </w:p>
        </w:tc>
        <w:tc>
          <w:tcPr>
            <w:tcW w:w="617" w:type="pct"/>
          </w:tcPr>
          <w:p w14:paraId="6E688CB4">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其他服务要求</w:t>
            </w:r>
          </w:p>
        </w:tc>
        <w:tc>
          <w:tcPr>
            <w:tcW w:w="3478" w:type="pct"/>
          </w:tcPr>
          <w:p w14:paraId="4DA3B6F5">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供应商提供针对本项目制定视力筛查服务方案，其内容包含：（1）筛查流程；（2）筛查内容；（3）筛查进度安排；（4）学校分析报告的撰写方案；（5）档案管理方案。</w:t>
            </w:r>
          </w:p>
          <w:p w14:paraId="087CC9B3">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供应商提供针对本项目制定售后服务方案，其内容包含：（1）项目整体实施计划，（2）工作流程时间节点，（3）整体进度保障措施，（4）质量保障措施，（5）科普讲座培训方案。</w:t>
            </w:r>
          </w:p>
          <w:p w14:paraId="586BC88F">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供应商为本项目配备的服务团队。</w:t>
            </w:r>
          </w:p>
          <w:p w14:paraId="31CAB9B9">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供应商具有类似业绩。</w:t>
            </w:r>
          </w:p>
        </w:tc>
      </w:tr>
    </w:tbl>
    <w:p w14:paraId="630B3C57">
      <w:pPr>
        <w:spacing w:after="0"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3.商务要求</w:t>
      </w:r>
    </w:p>
    <w:tbl>
      <w:tblPr>
        <w:tblStyle w:val="31"/>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91"/>
        <w:gridCol w:w="785"/>
        <w:gridCol w:w="1177"/>
        <w:gridCol w:w="6060"/>
      </w:tblGrid>
      <w:tr w14:paraId="27F1D7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8" w:type="pct"/>
          </w:tcPr>
          <w:p w14:paraId="4116C65F">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序号</w:t>
            </w:r>
          </w:p>
        </w:tc>
        <w:tc>
          <w:tcPr>
            <w:tcW w:w="461" w:type="pct"/>
          </w:tcPr>
          <w:p w14:paraId="21C51284">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符号标识</w:t>
            </w:r>
          </w:p>
        </w:tc>
        <w:tc>
          <w:tcPr>
            <w:tcW w:w="691" w:type="pct"/>
          </w:tcPr>
          <w:p w14:paraId="206409ED">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商务要求名称</w:t>
            </w:r>
          </w:p>
        </w:tc>
        <w:tc>
          <w:tcPr>
            <w:tcW w:w="3558" w:type="pct"/>
          </w:tcPr>
          <w:p w14:paraId="38DD96E0">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商务要求内容</w:t>
            </w:r>
          </w:p>
        </w:tc>
      </w:tr>
      <w:tr w14:paraId="4C7E18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8" w:type="pct"/>
          </w:tcPr>
          <w:p w14:paraId="03EC12EB">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1</w:t>
            </w:r>
          </w:p>
        </w:tc>
        <w:tc>
          <w:tcPr>
            <w:tcW w:w="461" w:type="pct"/>
          </w:tcPr>
          <w:p w14:paraId="129E79A5">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w:t>
            </w:r>
          </w:p>
        </w:tc>
        <w:tc>
          <w:tcPr>
            <w:tcW w:w="691" w:type="pct"/>
          </w:tcPr>
          <w:p w14:paraId="64AD723A">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服务期限</w:t>
            </w:r>
          </w:p>
        </w:tc>
        <w:tc>
          <w:tcPr>
            <w:tcW w:w="3558" w:type="pct"/>
          </w:tcPr>
          <w:p w14:paraId="6D03F941">
            <w:pPr>
              <w:pStyle w:val="73"/>
              <w:rPr>
                <w:rFonts w:hint="default" w:ascii="宋体" w:hAnsi="宋体" w:eastAsia="宋体" w:cs="宋体"/>
                <w:color w:val="auto"/>
                <w:sz w:val="24"/>
                <w:szCs w:val="24"/>
                <w:highlight w:val="none"/>
                <w:lang w:val="en-US" w:eastAsia="zh-CN"/>
              </w:rPr>
            </w:pPr>
            <w:r>
              <w:rPr>
                <w:rFonts w:hint="eastAsia" w:ascii="宋体" w:hAnsi="宋体" w:eastAsia="宋体" w:cs="宋体"/>
                <w:color w:val="auto"/>
                <w:highlight w:val="none"/>
                <w:lang w:val="en-US" w:eastAsia="zh-CN"/>
              </w:rPr>
              <w:t>1年</w:t>
            </w:r>
          </w:p>
        </w:tc>
      </w:tr>
      <w:tr w14:paraId="53F3CB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8" w:type="pct"/>
          </w:tcPr>
          <w:p w14:paraId="1C8ADA7A">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2</w:t>
            </w:r>
          </w:p>
        </w:tc>
        <w:tc>
          <w:tcPr>
            <w:tcW w:w="461" w:type="pct"/>
          </w:tcPr>
          <w:p w14:paraId="15EC37EA">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w:t>
            </w:r>
          </w:p>
        </w:tc>
        <w:tc>
          <w:tcPr>
            <w:tcW w:w="691" w:type="pct"/>
          </w:tcPr>
          <w:p w14:paraId="2229CB53">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服务地点</w:t>
            </w:r>
          </w:p>
        </w:tc>
        <w:tc>
          <w:tcPr>
            <w:tcW w:w="3558" w:type="pct"/>
          </w:tcPr>
          <w:p w14:paraId="3869F549">
            <w:pPr>
              <w:pStyle w:val="73"/>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成都汽车职业技术学校校内指定地点。</w:t>
            </w:r>
          </w:p>
        </w:tc>
      </w:tr>
      <w:tr w14:paraId="297511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8" w:type="pct"/>
          </w:tcPr>
          <w:p w14:paraId="4AE4590F">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3</w:t>
            </w:r>
          </w:p>
        </w:tc>
        <w:tc>
          <w:tcPr>
            <w:tcW w:w="461" w:type="pct"/>
          </w:tcPr>
          <w:p w14:paraId="3539733C">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w:t>
            </w:r>
          </w:p>
        </w:tc>
        <w:tc>
          <w:tcPr>
            <w:tcW w:w="691" w:type="pct"/>
          </w:tcPr>
          <w:p w14:paraId="78069604">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验收、交付标准和方法</w:t>
            </w:r>
          </w:p>
        </w:tc>
        <w:tc>
          <w:tcPr>
            <w:tcW w:w="3558" w:type="pct"/>
          </w:tcPr>
          <w:p w14:paraId="255DAA3D">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验收</w:t>
            </w:r>
          </w:p>
          <w:p w14:paraId="182379A7">
            <w:pPr>
              <w:pStyle w:val="73"/>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采购人自行验收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分段验收，春、秋季各1次</w:t>
            </w:r>
            <w:r>
              <w:rPr>
                <w:rFonts w:hint="eastAsia" w:ascii="宋体" w:hAnsi="宋体" w:eastAsia="宋体" w:cs="宋体"/>
                <w:color w:val="auto"/>
                <w:sz w:val="24"/>
                <w:szCs w:val="24"/>
                <w:highlight w:val="none"/>
                <w:lang w:eastAsia="zh-CN"/>
              </w:rPr>
              <w:t>；</w:t>
            </w:r>
          </w:p>
          <w:p w14:paraId="6B35EE21">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履约验收时间：供应商完成全部交付工作后5日内通知采购人验收，采购人接供应商通知后10日内组织验收。</w:t>
            </w:r>
          </w:p>
          <w:p w14:paraId="2DC861B1">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验收组织的其他事项：供应商仅在完成服务内容及培训后方可提出验收申请。</w:t>
            </w:r>
          </w:p>
          <w:p w14:paraId="0FB11B9C">
            <w:pPr>
              <w:pStyle w:val="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履约验收标准：</w:t>
            </w:r>
          </w:p>
          <w:p w14:paraId="2FB613C3">
            <w:pPr>
              <w:pStyle w:val="73"/>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eastAsia="zh-CN"/>
              </w:rPr>
              <w:t>按照国家有关</w:t>
            </w:r>
            <w:r>
              <w:rPr>
                <w:rFonts w:ascii="宋体" w:hAnsi="宋体" w:eastAsia="宋体" w:cs="宋体"/>
                <w:color w:val="auto"/>
                <w:sz w:val="24"/>
                <w:szCs w:val="24"/>
                <w:highlight w:val="none"/>
              </w:rPr>
              <w:t>规定以及采购文件的质量要求和技术指标</w:t>
            </w:r>
            <w:r>
              <w:rPr>
                <w:rFonts w:ascii="宋体" w:hAnsi="宋体" w:eastAsia="宋体" w:cs="宋体"/>
                <w:color w:val="auto"/>
                <w:sz w:val="24"/>
                <w:szCs w:val="24"/>
                <w:highlight w:val="none"/>
                <w:lang w:eastAsia="zh-CN"/>
              </w:rPr>
              <w:t>（包括每一项技术和商务要求的履约情况）</w:t>
            </w:r>
            <w:r>
              <w:rPr>
                <w:rFonts w:ascii="宋体" w:hAnsi="宋体" w:eastAsia="宋体" w:cs="宋体"/>
                <w:color w:val="auto"/>
                <w:sz w:val="24"/>
                <w:szCs w:val="24"/>
                <w:highlight w:val="none"/>
              </w:rPr>
              <w:t>、供应商的响应文件及承诺</w:t>
            </w:r>
            <w:r>
              <w:rPr>
                <w:rFonts w:ascii="宋体" w:hAnsi="宋体" w:eastAsia="宋体" w:cs="宋体"/>
                <w:color w:val="auto"/>
                <w:sz w:val="24"/>
                <w:szCs w:val="24"/>
                <w:highlight w:val="none"/>
                <w:lang w:eastAsia="zh-CN"/>
              </w:rPr>
              <w:t>，与</w:t>
            </w:r>
            <w:r>
              <w:rPr>
                <w:rFonts w:ascii="宋体" w:hAnsi="宋体" w:eastAsia="宋体" w:cs="宋体"/>
                <w:color w:val="auto"/>
                <w:sz w:val="24"/>
                <w:szCs w:val="24"/>
                <w:highlight w:val="none"/>
              </w:rPr>
              <w:t>本合同约定标准进行验收；</w:t>
            </w:r>
          </w:p>
          <w:p w14:paraId="7720E080">
            <w:pPr>
              <w:pStyle w:val="73"/>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采购双方如对质量要求和技术指标的约定标准有相互抵触或异议的事项，由采购人在国家有关规定、采购文件、响应文件及承诺与采购合同约定中</w:t>
            </w:r>
            <w:r>
              <w:rPr>
                <w:rFonts w:ascii="宋体" w:hAnsi="宋体" w:eastAsia="宋体" w:cs="宋体"/>
                <w:color w:val="auto"/>
                <w:sz w:val="24"/>
                <w:szCs w:val="24"/>
                <w:highlight w:val="none"/>
                <w:lang w:eastAsia="zh-CN"/>
              </w:rPr>
              <w:t>，按</w:t>
            </w:r>
            <w:r>
              <w:rPr>
                <w:rFonts w:ascii="宋体" w:hAnsi="宋体" w:eastAsia="宋体" w:cs="宋体"/>
                <w:color w:val="auto"/>
                <w:sz w:val="24"/>
                <w:szCs w:val="24"/>
                <w:highlight w:val="none"/>
              </w:rPr>
              <w:t>质量要求和技术指标比较优胜的原则确定该项的约定标准进行验收；</w:t>
            </w:r>
          </w:p>
          <w:p w14:paraId="43518556">
            <w:pPr>
              <w:pStyle w:val="7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其他未尽事宜应按照《财政部关于进一步加强政府采购需求和履约验收管理的指导意见》</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财库〔2016〕205号</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、《政府采购需求管理办法》</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财库〔2021〕22号</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及采购文件验收相关规定组织验收。</w:t>
            </w:r>
          </w:p>
        </w:tc>
      </w:tr>
      <w:tr w14:paraId="0DEAEA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8" w:type="pct"/>
          </w:tcPr>
          <w:p w14:paraId="0B28879D">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4</w:t>
            </w:r>
          </w:p>
        </w:tc>
        <w:tc>
          <w:tcPr>
            <w:tcW w:w="461" w:type="pct"/>
          </w:tcPr>
          <w:p w14:paraId="2CE74F8E">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w:t>
            </w:r>
          </w:p>
        </w:tc>
        <w:tc>
          <w:tcPr>
            <w:tcW w:w="691" w:type="pct"/>
          </w:tcPr>
          <w:p w14:paraId="40E3B2EF">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支付方式</w:t>
            </w:r>
          </w:p>
        </w:tc>
        <w:tc>
          <w:tcPr>
            <w:tcW w:w="3558" w:type="pct"/>
          </w:tcPr>
          <w:p w14:paraId="7A544513">
            <w:pPr>
              <w:pStyle w:val="7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按照筛查人数，据实结算，</w:t>
            </w:r>
            <w:r>
              <w:rPr>
                <w:rFonts w:ascii="宋体" w:hAnsi="宋体" w:eastAsia="宋体" w:cs="宋体"/>
                <w:color w:val="auto"/>
                <w:sz w:val="24"/>
                <w:szCs w:val="24"/>
                <w:highlight w:val="none"/>
                <w:lang w:eastAsia="zh-CN"/>
              </w:rPr>
              <w:t>一次性</w:t>
            </w:r>
            <w:r>
              <w:rPr>
                <w:rFonts w:ascii="宋体" w:hAnsi="宋体" w:eastAsia="宋体" w:cs="宋体"/>
                <w:color w:val="auto"/>
                <w:sz w:val="24"/>
                <w:szCs w:val="24"/>
                <w:highlight w:val="none"/>
              </w:rPr>
              <w:t>付款</w:t>
            </w:r>
          </w:p>
        </w:tc>
      </w:tr>
      <w:tr w14:paraId="2390FB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8" w:type="pct"/>
          </w:tcPr>
          <w:p w14:paraId="082C7F3F">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5</w:t>
            </w:r>
          </w:p>
        </w:tc>
        <w:tc>
          <w:tcPr>
            <w:tcW w:w="461" w:type="pct"/>
          </w:tcPr>
          <w:p w14:paraId="2E1A487D">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w:t>
            </w:r>
          </w:p>
        </w:tc>
        <w:tc>
          <w:tcPr>
            <w:tcW w:w="691" w:type="pct"/>
          </w:tcPr>
          <w:p w14:paraId="415BAA84">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付款进度安排</w:t>
            </w:r>
          </w:p>
        </w:tc>
        <w:tc>
          <w:tcPr>
            <w:tcW w:w="3558" w:type="pct"/>
          </w:tcPr>
          <w:p w14:paraId="74A97240">
            <w:pPr>
              <w:pStyle w:val="7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每学期筛查完成后，供应商按实际筛查人数提供给采购人确认后；供应商向采购人出具合法有效完整的税票及凭证资料且采购人财务付款流程走完后，达到付款条件起10日内，</w:t>
            </w:r>
            <w:r>
              <w:rPr>
                <w:rFonts w:hint="eastAsia" w:ascii="宋体" w:hAnsi="宋体" w:eastAsia="宋体" w:cs="宋体"/>
                <w:color w:val="auto"/>
                <w:sz w:val="24"/>
                <w:szCs w:val="24"/>
                <w:highlight w:val="none"/>
                <w:lang w:val="en-US" w:eastAsia="zh-CN"/>
              </w:rPr>
              <w:t>根据</w:t>
            </w:r>
            <w:r>
              <w:rPr>
                <w:rFonts w:hint="eastAsia" w:ascii="宋体" w:hAnsi="宋体" w:eastAsia="宋体" w:cs="宋体"/>
                <w:color w:val="auto"/>
                <w:sz w:val="24"/>
                <w:szCs w:val="24"/>
                <w:highlight w:val="none"/>
                <w:lang w:eastAsia="zh-CN"/>
              </w:rPr>
              <w:t>实际筛查人数据实结算转账。</w:t>
            </w:r>
          </w:p>
        </w:tc>
      </w:tr>
      <w:tr w14:paraId="7958A3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8" w:type="pct"/>
          </w:tcPr>
          <w:p w14:paraId="0C0B9B3D">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6</w:t>
            </w:r>
          </w:p>
        </w:tc>
        <w:tc>
          <w:tcPr>
            <w:tcW w:w="461" w:type="pct"/>
          </w:tcPr>
          <w:p w14:paraId="344F1D92">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w:t>
            </w:r>
          </w:p>
        </w:tc>
        <w:tc>
          <w:tcPr>
            <w:tcW w:w="691" w:type="pct"/>
          </w:tcPr>
          <w:p w14:paraId="5A2E3C89">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违约责任与解决争议的方法</w:t>
            </w:r>
          </w:p>
        </w:tc>
        <w:tc>
          <w:tcPr>
            <w:tcW w:w="3558" w:type="pct"/>
          </w:tcPr>
          <w:p w14:paraId="3AD52D16">
            <w:pPr>
              <w:pStyle w:val="73"/>
              <w:rPr>
                <w:rFonts w:hint="eastAsia" w:ascii="宋体" w:hAnsi="宋体" w:eastAsia="宋体" w:cs="宋体"/>
                <w:color w:val="auto"/>
                <w:sz w:val="24"/>
                <w:szCs w:val="24"/>
                <w:highlight w:val="none"/>
                <w:lang w:eastAsia="zh-CN"/>
              </w:rPr>
            </w:pPr>
            <w:r>
              <w:rPr>
                <w:rFonts w:ascii="宋体" w:hAnsi="宋体" w:eastAsia="宋体" w:cs="宋体"/>
                <w:color w:val="auto"/>
                <w:sz w:val="24"/>
                <w:szCs w:val="24"/>
                <w:highlight w:val="none"/>
              </w:rPr>
              <w:t>1.因资源的质量问题发生争议，由质量技术监督部门或其指定的质量鉴定机构进行质量鉴定。资源符合标准的，鉴定费由采购人承担；资源不符合质量标准的，鉴定费由供应商承担。</w:t>
            </w:r>
          </w:p>
          <w:p w14:paraId="1F2F6C40">
            <w:pPr>
              <w:pStyle w:val="73"/>
              <w:rPr>
                <w:rFonts w:ascii="宋体" w:hAnsi="宋体" w:eastAsia="宋体" w:cs="宋体"/>
                <w:color w:val="auto"/>
                <w:sz w:val="24"/>
                <w:szCs w:val="24"/>
                <w:highlight w:val="none"/>
              </w:rPr>
            </w:pPr>
            <w:r>
              <w:rPr>
                <w:rFonts w:ascii="宋体" w:hAnsi="宋体" w:eastAsia="宋体" w:cs="宋体"/>
                <w:color w:val="auto"/>
                <w:sz w:val="24"/>
                <w:szCs w:val="24"/>
                <w:highlight w:val="none"/>
              </w:rPr>
              <w:t>2.合同履行期间</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若双方发生争议，可协商或由有关部门调解解决，协商或调解不成的，由当事人依法维护其合法权益。</w:t>
            </w:r>
          </w:p>
        </w:tc>
      </w:tr>
    </w:tbl>
    <w:p w14:paraId="490FA49E">
      <w:pPr>
        <w:spacing w:after="0" w:line="240" w:lineRule="auto"/>
        <w:ind w:right="1123"/>
        <w:rPr>
          <w:rFonts w:hint="eastAsia" w:ascii="宋体" w:hAnsi="宋体" w:eastAsia="宋体" w:cs="宋体"/>
          <w:color w:val="auto"/>
          <w:sz w:val="32"/>
          <w:szCs w:val="32"/>
          <w:highlight w:val="none"/>
        </w:rPr>
      </w:pPr>
    </w:p>
    <w:p w14:paraId="5876CE3A">
      <w:pPr>
        <w:spacing w:after="0" w:line="240" w:lineRule="auto"/>
        <w:ind w:right="1123"/>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说明：</w:t>
      </w:r>
    </w:p>
    <w:p w14:paraId="60D26B8C">
      <w:pPr>
        <w:spacing w:after="0" w:line="240" w:lineRule="auto"/>
        <w:ind w:right="1123"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1.服务地点：成都汽车职业技术学校；</w:t>
      </w:r>
    </w:p>
    <w:p w14:paraId="0374C9F5">
      <w:pPr>
        <w:spacing w:after="0" w:line="240" w:lineRule="auto"/>
        <w:ind w:right="1123" w:firstLine="640" w:firstLineChars="200"/>
        <w:rPr>
          <w:rFonts w:hint="eastAsia" w:ascii="宋体" w:hAnsi="宋体" w:cs="宋体"/>
          <w:color w:val="auto"/>
          <w:highlight w:val="none"/>
        </w:rPr>
      </w:pPr>
      <w:r>
        <w:rPr>
          <w:rFonts w:hint="eastAsia" w:ascii="宋体" w:hAnsi="宋体" w:eastAsia="宋体" w:cs="宋体"/>
          <w:color w:val="auto"/>
          <w:sz w:val="32"/>
          <w:szCs w:val="32"/>
          <w:highlight w:val="none"/>
        </w:rPr>
        <w:t>2.本次</w:t>
      </w:r>
      <w:r>
        <w:rPr>
          <w:rFonts w:hint="eastAsia" w:ascii="宋体" w:hAnsi="宋体" w:cs="宋体"/>
          <w:color w:val="auto"/>
          <w:sz w:val="32"/>
          <w:szCs w:val="32"/>
          <w:highlight w:val="none"/>
          <w:lang w:val="en-US" w:eastAsia="zh-CN"/>
        </w:rPr>
        <w:t>价格</w:t>
      </w:r>
      <w:r>
        <w:rPr>
          <w:rFonts w:hint="eastAsia" w:ascii="宋体" w:hAnsi="宋体" w:eastAsia="宋体" w:cs="宋体"/>
          <w:color w:val="auto"/>
          <w:sz w:val="32"/>
          <w:szCs w:val="32"/>
          <w:highlight w:val="none"/>
        </w:rPr>
        <w:t>为</w:t>
      </w:r>
      <w:r>
        <w:rPr>
          <w:rFonts w:hint="eastAsia" w:ascii="宋体" w:hAnsi="宋体" w:eastAsia="宋体" w:cs="宋体"/>
          <w:b/>
          <w:bCs/>
          <w:color w:val="auto"/>
          <w:sz w:val="32"/>
          <w:szCs w:val="32"/>
          <w:highlight w:val="none"/>
        </w:rPr>
        <w:t>含税开票价格</w:t>
      </w:r>
      <w:r>
        <w:rPr>
          <w:rFonts w:hint="eastAsia" w:ascii="宋体" w:hAnsi="宋体" w:cs="宋体"/>
          <w:b/>
          <w:bCs/>
          <w:color w:val="auto"/>
          <w:sz w:val="32"/>
          <w:szCs w:val="32"/>
          <w:highlight w:val="none"/>
          <w:lang w:eastAsia="zh-CN"/>
        </w:rPr>
        <w:t>，</w:t>
      </w:r>
      <w:r>
        <w:rPr>
          <w:rFonts w:hint="eastAsia" w:ascii="方正仿宋_GBK" w:hAnsi="方正仿宋_GBK" w:eastAsia="方正仿宋_GBK" w:cs="方正仿宋_GBK"/>
          <w:b/>
          <w:bCs/>
          <w:color w:val="auto"/>
          <w:sz w:val="32"/>
          <w:szCs w:val="32"/>
          <w:highlight w:val="none"/>
        </w:rPr>
        <w:t>且是一次性报价</w:t>
      </w:r>
      <w:r>
        <w:rPr>
          <w:rFonts w:hint="eastAsia" w:ascii="宋体" w:hAnsi="宋体" w:eastAsia="宋体" w:cs="宋体"/>
          <w:b/>
          <w:bCs/>
          <w:color w:val="auto"/>
          <w:sz w:val="32"/>
          <w:szCs w:val="32"/>
          <w:highlight w:val="none"/>
        </w:rPr>
        <w:t>；</w:t>
      </w:r>
    </w:p>
    <w:p w14:paraId="3274654A">
      <w:pPr>
        <w:pStyle w:val="11"/>
        <w:ind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供应商的报价是其响应本项目要求的全部工作内容的价格体现或者结算标准，包括供应商完成本项目所需的一切费用。供应商对采购内容报价要求中的每一项报价内容只允许有一个报价，任何有选择或可调整的报价将不予接受。</w:t>
      </w:r>
    </w:p>
    <w:p w14:paraId="365EA4F2">
      <w:pPr>
        <w:spacing w:after="0" w:line="240" w:lineRule="auto"/>
        <w:ind w:right="1123"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3.报价表格式：</w:t>
      </w:r>
      <w:r>
        <w:rPr>
          <w:rFonts w:hint="eastAsia" w:ascii="宋体" w:hAnsi="宋体" w:eastAsia="宋体" w:cs="宋体"/>
          <w:b/>
          <w:bCs/>
          <w:color w:val="auto"/>
          <w:sz w:val="32"/>
          <w:szCs w:val="32"/>
          <w:highlight w:val="none"/>
        </w:rPr>
        <w:t>盖章密封纸质版文件；</w:t>
      </w:r>
    </w:p>
    <w:p w14:paraId="67EAA251">
      <w:pPr>
        <w:spacing w:after="0" w:line="240" w:lineRule="auto"/>
        <w:ind w:right="1123"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4.本项目不收取比选保证金；</w:t>
      </w:r>
    </w:p>
    <w:p w14:paraId="2F61E56D">
      <w:pPr>
        <w:spacing w:after="0" w:line="240" w:lineRule="auto"/>
        <w:ind w:right="1123"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5.招标方式：最低评标价法；</w:t>
      </w:r>
    </w:p>
    <w:p w14:paraId="365BB881">
      <w:pPr>
        <w:keepNext w:val="0"/>
        <w:keepLines w:val="0"/>
        <w:pageBreakBefore w:val="0"/>
        <w:kinsoku/>
        <w:wordWrap/>
        <w:overflowPunct/>
        <w:topLinePunct w:val="0"/>
        <w:autoSpaceDE/>
        <w:autoSpaceDN/>
        <w:bidi w:val="0"/>
        <w:adjustRightInd/>
        <w:snapToGrid/>
        <w:spacing w:after="0" w:afterLines="0" w:line="240" w:lineRule="auto"/>
        <w:ind w:right="0" w:firstLine="640" w:firstLineChars="200"/>
        <w:textAlignment w:val="auto"/>
        <w:rPr>
          <w:rFonts w:hint="eastAsia" w:ascii="宋体" w:hAnsi="宋体" w:eastAsia="宋体" w:cs="宋体"/>
          <w:b w:val="0"/>
          <w:bCs w:val="0"/>
          <w:color w:val="auto"/>
          <w:sz w:val="32"/>
          <w:szCs w:val="32"/>
          <w:highlight w:val="none"/>
        </w:rPr>
      </w:pPr>
      <w:r>
        <w:rPr>
          <w:rFonts w:hint="eastAsia" w:ascii="宋体" w:hAnsi="宋体" w:eastAsia="宋体" w:cs="宋体"/>
          <w:color w:val="auto"/>
          <w:sz w:val="32"/>
          <w:szCs w:val="32"/>
          <w:highlight w:val="none"/>
          <w:lang w:val="en-US" w:eastAsia="zh-CN"/>
        </w:rPr>
        <w:t>6.</w:t>
      </w:r>
      <w:r>
        <w:rPr>
          <w:rFonts w:hint="eastAsia" w:ascii="宋体" w:hAnsi="宋体" w:eastAsia="宋体" w:cs="宋体"/>
          <w:b w:val="0"/>
          <w:bCs w:val="0"/>
          <w:color w:val="auto"/>
          <w:sz w:val="32"/>
          <w:szCs w:val="32"/>
          <w:highlight w:val="none"/>
        </w:rPr>
        <w:t>注：“★”的条款为实质性要求，供应商若未满足的，将被视为无效响应。</w:t>
      </w:r>
    </w:p>
    <w:p w14:paraId="59AB64EE">
      <w:pPr>
        <w:pStyle w:val="5"/>
        <w:spacing w:before="0" w:after="0" w:line="240" w:lineRule="auto"/>
        <w:ind w:firstLine="602" w:firstLineChars="200"/>
        <w:jc w:val="both"/>
        <w:rPr>
          <w:rFonts w:hint="eastAsia" w:ascii="宋体" w:hAnsi="宋体" w:eastAsia="宋体" w:cs="宋体"/>
          <w:b w:val="0"/>
          <w:bCs w:val="0"/>
          <w:color w:val="auto"/>
          <w:highlight w:val="none"/>
        </w:rPr>
      </w:pPr>
      <w:r>
        <w:rPr>
          <w:rFonts w:hint="eastAsia" w:ascii="宋体" w:hAnsi="宋体" w:eastAsia="宋体" w:cs="宋体"/>
          <w:color w:val="auto"/>
          <w:sz w:val="30"/>
          <w:szCs w:val="30"/>
          <w:highlight w:val="none"/>
        </w:rPr>
        <w:br w:type="page"/>
      </w:r>
      <w:r>
        <w:rPr>
          <w:rFonts w:hint="eastAsia" w:ascii="宋体" w:hAnsi="宋体" w:eastAsia="宋体" w:cs="宋体"/>
          <w:b w:val="0"/>
          <w:bCs w:val="0"/>
          <w:color w:val="auto"/>
          <w:highlight w:val="none"/>
        </w:rPr>
        <w:t>二、总则</w:t>
      </w:r>
    </w:p>
    <w:p w14:paraId="1F4BF29A">
      <w:pPr>
        <w:pStyle w:val="6"/>
        <w:spacing w:before="0" w:after="0" w:line="580" w:lineRule="exact"/>
        <w:ind w:firstLine="482" w:firstLineChars="200"/>
        <w:contextualSpacing/>
        <w:jc w:val="left"/>
        <w:rPr>
          <w:rFonts w:hint="eastAsia" w:ascii="宋体" w:hAnsi="宋体" w:eastAsia="宋体" w:cs="宋体"/>
          <w:color w:val="auto"/>
          <w:sz w:val="24"/>
          <w:szCs w:val="24"/>
          <w:highlight w:val="none"/>
        </w:rPr>
      </w:pPr>
      <w:bookmarkStart w:id="11" w:name="_Toc183582205"/>
      <w:bookmarkStart w:id="12" w:name="_Toc183682342"/>
      <w:bookmarkStart w:id="13" w:name="_Toc217446034"/>
      <w:bookmarkStart w:id="14" w:name="PO_默认文件内容_24"/>
      <w:r>
        <w:rPr>
          <w:rFonts w:hint="eastAsia" w:ascii="宋体" w:hAnsi="宋体" w:eastAsia="宋体" w:cs="宋体"/>
          <w:color w:val="auto"/>
          <w:sz w:val="24"/>
          <w:szCs w:val="24"/>
          <w:highlight w:val="none"/>
        </w:rPr>
        <w:t>1.</w:t>
      </w:r>
      <w:bookmarkEnd w:id="11"/>
      <w:bookmarkEnd w:id="12"/>
      <w:r>
        <w:rPr>
          <w:rFonts w:hint="eastAsia" w:ascii="宋体" w:hAnsi="宋体" w:eastAsia="宋体" w:cs="宋体"/>
          <w:color w:val="auto"/>
          <w:sz w:val="24"/>
          <w:szCs w:val="24"/>
          <w:highlight w:val="none"/>
        </w:rPr>
        <w:t>适用范围</w:t>
      </w:r>
      <w:bookmarkEnd w:id="13"/>
    </w:p>
    <w:p w14:paraId="3FA6C640">
      <w:pPr>
        <w:tabs>
          <w:tab w:val="left" w:pos="7665"/>
        </w:tabs>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1.1本比选文件仅适用于本次比选活动。</w:t>
      </w:r>
    </w:p>
    <w:p w14:paraId="7C1069F3">
      <w:pPr>
        <w:pStyle w:val="6"/>
        <w:spacing w:before="0" w:after="0" w:line="580" w:lineRule="exact"/>
        <w:ind w:firstLine="482" w:firstLineChars="200"/>
        <w:contextualSpacing/>
        <w:jc w:val="left"/>
        <w:rPr>
          <w:rFonts w:hint="eastAsia" w:ascii="宋体" w:hAnsi="宋体" w:eastAsia="宋体" w:cs="宋体"/>
          <w:bCs w:val="0"/>
          <w:color w:val="auto"/>
          <w:sz w:val="24"/>
          <w:szCs w:val="24"/>
          <w:highlight w:val="none"/>
        </w:rPr>
      </w:pPr>
      <w:bookmarkStart w:id="15" w:name="_Toc183682343"/>
      <w:bookmarkStart w:id="16" w:name="_Toc217446035"/>
      <w:bookmarkStart w:id="17" w:name="_Toc183582206"/>
      <w:r>
        <w:rPr>
          <w:rFonts w:hint="eastAsia" w:ascii="宋体" w:hAnsi="宋体" w:eastAsia="宋体" w:cs="宋体"/>
          <w:bCs w:val="0"/>
          <w:color w:val="auto"/>
          <w:sz w:val="24"/>
          <w:szCs w:val="24"/>
          <w:highlight w:val="none"/>
        </w:rPr>
        <w:t>2.</w:t>
      </w:r>
      <w:bookmarkEnd w:id="15"/>
      <w:bookmarkEnd w:id="16"/>
      <w:bookmarkEnd w:id="17"/>
      <w:r>
        <w:rPr>
          <w:rFonts w:hint="eastAsia" w:ascii="宋体" w:hAnsi="宋体" w:eastAsia="宋体" w:cs="宋体"/>
          <w:bCs w:val="0"/>
          <w:color w:val="auto"/>
          <w:sz w:val="24"/>
          <w:szCs w:val="24"/>
          <w:highlight w:val="none"/>
        </w:rPr>
        <w:t>有关定义</w:t>
      </w:r>
    </w:p>
    <w:p w14:paraId="1CBD9447">
      <w:pPr>
        <w:tabs>
          <w:tab w:val="left" w:pos="7665"/>
        </w:tabs>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2.1本次比选的主体是</w:t>
      </w:r>
      <w:bookmarkEnd w:id="14"/>
      <w:r>
        <w:rPr>
          <w:rFonts w:hint="eastAsia" w:ascii="宋体" w:hAnsi="宋体" w:eastAsia="宋体" w:cs="宋体"/>
          <w:color w:val="auto"/>
          <w:sz w:val="24"/>
          <w:highlight w:val="none"/>
        </w:rPr>
        <w:t>成都汽车职业技术学校。</w:t>
      </w:r>
    </w:p>
    <w:p w14:paraId="2FEE2B28">
      <w:pPr>
        <w:tabs>
          <w:tab w:val="left" w:pos="7665"/>
        </w:tabs>
        <w:spacing w:after="0" w:line="580" w:lineRule="exact"/>
        <w:ind w:firstLine="480" w:firstLineChars="200"/>
        <w:contextualSpacing/>
        <w:jc w:val="left"/>
        <w:rPr>
          <w:rFonts w:hint="eastAsia" w:ascii="宋体" w:hAnsi="宋体" w:eastAsia="宋体" w:cs="宋体"/>
          <w:color w:val="auto"/>
          <w:sz w:val="24"/>
          <w:highlight w:val="none"/>
        </w:rPr>
      </w:pPr>
      <w:bookmarkStart w:id="18" w:name="PO_默认文件内容_35"/>
      <w:r>
        <w:rPr>
          <w:rFonts w:hint="eastAsia" w:ascii="宋体" w:hAnsi="宋体" w:eastAsia="宋体" w:cs="宋体"/>
          <w:color w:val="auto"/>
          <w:sz w:val="24"/>
          <w:highlight w:val="none"/>
        </w:rPr>
        <w:t>2.2“投标人”系指参加比选活动的投标人。</w:t>
      </w:r>
    </w:p>
    <w:p w14:paraId="5EFA5C52">
      <w:pPr>
        <w:pStyle w:val="6"/>
        <w:spacing w:before="0" w:after="0" w:line="580" w:lineRule="exact"/>
        <w:ind w:firstLine="482" w:firstLineChars="200"/>
        <w:contextualSpacing/>
        <w:jc w:val="left"/>
        <w:rPr>
          <w:rFonts w:hint="eastAsia" w:ascii="宋体" w:hAnsi="宋体" w:eastAsia="宋体" w:cs="宋体"/>
          <w:color w:val="auto"/>
          <w:sz w:val="24"/>
          <w:szCs w:val="24"/>
          <w:highlight w:val="none"/>
        </w:rPr>
      </w:pPr>
      <w:bookmarkStart w:id="19" w:name="_Toc217446036"/>
      <w:bookmarkStart w:id="20" w:name="_Toc183582207"/>
      <w:bookmarkStart w:id="21" w:name="_Toc217390843"/>
      <w:bookmarkStart w:id="22" w:name="_Toc183682344"/>
      <w:r>
        <w:rPr>
          <w:rFonts w:hint="eastAsia" w:ascii="宋体" w:hAnsi="宋体" w:eastAsia="宋体" w:cs="宋体"/>
          <w:color w:val="auto"/>
          <w:sz w:val="24"/>
          <w:szCs w:val="24"/>
          <w:highlight w:val="none"/>
        </w:rPr>
        <w:t>3.合格的</w:t>
      </w:r>
      <w:bookmarkEnd w:id="19"/>
      <w:bookmarkEnd w:id="20"/>
      <w:bookmarkEnd w:id="21"/>
      <w:bookmarkEnd w:id="22"/>
      <w:r>
        <w:rPr>
          <w:rFonts w:hint="eastAsia" w:ascii="宋体" w:hAnsi="宋体" w:eastAsia="宋体" w:cs="宋体"/>
          <w:color w:val="auto"/>
          <w:sz w:val="24"/>
          <w:szCs w:val="24"/>
          <w:highlight w:val="none"/>
        </w:rPr>
        <w:t>投标人</w:t>
      </w:r>
    </w:p>
    <w:p w14:paraId="45B497DF">
      <w:pPr>
        <w:tabs>
          <w:tab w:val="left" w:pos="7665"/>
        </w:tabs>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合格的投标人应具备以下条件：符合本比选文件第一章“比选公告”相关规定。</w:t>
      </w:r>
    </w:p>
    <w:p w14:paraId="3C3316EF">
      <w:pPr>
        <w:pStyle w:val="6"/>
        <w:spacing w:before="0" w:after="0" w:line="580" w:lineRule="exact"/>
        <w:ind w:firstLine="482" w:firstLineChars="200"/>
        <w:contextualSpacing/>
        <w:jc w:val="left"/>
        <w:rPr>
          <w:rFonts w:hint="eastAsia" w:ascii="宋体" w:hAnsi="宋体" w:eastAsia="宋体" w:cs="宋体"/>
          <w:color w:val="auto"/>
          <w:sz w:val="24"/>
          <w:szCs w:val="24"/>
          <w:highlight w:val="none"/>
        </w:rPr>
      </w:pPr>
      <w:bookmarkStart w:id="23" w:name="_Toc183682345"/>
      <w:bookmarkStart w:id="24" w:name="_Toc217446037"/>
      <w:bookmarkStart w:id="25" w:name="_Toc183582208"/>
      <w:r>
        <w:rPr>
          <w:rFonts w:hint="eastAsia" w:ascii="宋体" w:hAnsi="宋体" w:eastAsia="宋体" w:cs="宋体"/>
          <w:color w:val="auto"/>
          <w:sz w:val="24"/>
          <w:szCs w:val="24"/>
          <w:highlight w:val="none"/>
        </w:rPr>
        <w:t>4.比选费用</w:t>
      </w:r>
      <w:bookmarkEnd w:id="23"/>
      <w:bookmarkEnd w:id="24"/>
      <w:bookmarkEnd w:id="25"/>
    </w:p>
    <w:p w14:paraId="0F03AF43">
      <w:pPr>
        <w:tabs>
          <w:tab w:val="left" w:pos="7665"/>
        </w:tabs>
        <w:spacing w:after="0" w:line="580" w:lineRule="exact"/>
        <w:ind w:firstLine="48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投标人参加本次比选活动的有关费用由投标人自行承担。</w:t>
      </w:r>
    </w:p>
    <w:p w14:paraId="1B67480D">
      <w:pPr>
        <w:pStyle w:val="6"/>
        <w:spacing w:before="0" w:after="0" w:line="580" w:lineRule="exact"/>
        <w:ind w:firstLine="482" w:firstLineChars="200"/>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5.投标人公平竞争原则</w:t>
      </w:r>
    </w:p>
    <w:p w14:paraId="6443E2BA">
      <w:pPr>
        <w:tabs>
          <w:tab w:val="left" w:pos="7665"/>
        </w:tabs>
        <w:spacing w:after="0" w:line="580" w:lineRule="exact"/>
        <w:ind w:firstLine="48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企业负责人为同一人或者公司法定代表人为同一人，或者存在相同控股股东，或者存在直接控股、管理关系的不同投标人，可以参加本次比选活动，但不得参加同一竞争报价或随机抽取项目的竞争。</w:t>
      </w:r>
    </w:p>
    <w:p w14:paraId="1B5DE8C4">
      <w:pPr>
        <w:pStyle w:val="5"/>
        <w:spacing w:before="0" w:after="0" w:line="580" w:lineRule="exact"/>
        <w:contextualSpacing/>
        <w:jc w:val="center"/>
        <w:rPr>
          <w:rFonts w:hint="eastAsia" w:ascii="宋体" w:hAnsi="宋体" w:eastAsia="宋体" w:cs="宋体"/>
          <w:b w:val="0"/>
          <w:bCs w:val="0"/>
          <w:color w:val="auto"/>
          <w:highlight w:val="none"/>
        </w:rPr>
      </w:pPr>
      <w:bookmarkStart w:id="26" w:name="_Toc183582209"/>
      <w:bookmarkStart w:id="27" w:name="_Toc183682346"/>
      <w:bookmarkStart w:id="28" w:name="_Toc217446038"/>
      <w:bookmarkStart w:id="29" w:name="_Toc77400779"/>
      <w:bookmarkStart w:id="30" w:name="_Toc89075875"/>
      <w:r>
        <w:rPr>
          <w:rFonts w:hint="eastAsia" w:ascii="宋体" w:hAnsi="宋体" w:eastAsia="宋体" w:cs="宋体"/>
          <w:b w:val="0"/>
          <w:bCs w:val="0"/>
          <w:color w:val="auto"/>
          <w:highlight w:val="none"/>
        </w:rPr>
        <w:t>三、</w:t>
      </w:r>
      <w:bookmarkEnd w:id="26"/>
      <w:bookmarkEnd w:id="27"/>
      <w:bookmarkEnd w:id="28"/>
      <w:bookmarkEnd w:id="29"/>
      <w:bookmarkEnd w:id="30"/>
      <w:r>
        <w:rPr>
          <w:rFonts w:hint="eastAsia" w:ascii="宋体" w:hAnsi="宋体" w:eastAsia="宋体" w:cs="宋体"/>
          <w:b w:val="0"/>
          <w:bCs w:val="0"/>
          <w:color w:val="auto"/>
          <w:highlight w:val="none"/>
        </w:rPr>
        <w:t>比选文件</w:t>
      </w:r>
    </w:p>
    <w:p w14:paraId="7CB76FF5">
      <w:pPr>
        <w:pStyle w:val="6"/>
        <w:spacing w:before="0" w:after="0" w:line="580" w:lineRule="exact"/>
        <w:ind w:firstLine="482" w:firstLineChars="200"/>
        <w:contextualSpacing/>
        <w:jc w:val="left"/>
        <w:rPr>
          <w:rFonts w:hint="eastAsia" w:ascii="宋体" w:hAnsi="宋体" w:eastAsia="宋体" w:cs="宋体"/>
          <w:color w:val="auto"/>
          <w:sz w:val="24"/>
          <w:szCs w:val="24"/>
          <w:highlight w:val="none"/>
        </w:rPr>
      </w:pPr>
      <w:bookmarkStart w:id="31" w:name="_Toc183582210"/>
      <w:bookmarkStart w:id="32" w:name="_Toc217446039"/>
      <w:bookmarkStart w:id="33" w:name="_Toc183682347"/>
      <w:r>
        <w:rPr>
          <w:rFonts w:hint="eastAsia" w:ascii="宋体" w:hAnsi="宋体" w:eastAsia="宋体" w:cs="宋体"/>
          <w:color w:val="auto"/>
          <w:sz w:val="24"/>
          <w:szCs w:val="24"/>
          <w:highlight w:val="none"/>
        </w:rPr>
        <w:t>6.比选文件的构成</w:t>
      </w:r>
      <w:bookmarkEnd w:id="31"/>
      <w:bookmarkEnd w:id="32"/>
      <w:bookmarkEnd w:id="33"/>
    </w:p>
    <w:p w14:paraId="244EF228">
      <w:pPr>
        <w:tabs>
          <w:tab w:val="left" w:pos="7665"/>
        </w:tabs>
        <w:spacing w:after="0" w:line="580" w:lineRule="exact"/>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比选文件是投标人准备投标文件和参加本次</w:t>
      </w:r>
      <w:r>
        <w:rPr>
          <w:rFonts w:hint="eastAsia" w:ascii="宋体" w:hAnsi="宋体" w:eastAsia="宋体" w:cs="宋体"/>
          <w:color w:val="auto"/>
          <w:sz w:val="24"/>
          <w:highlight w:val="none"/>
        </w:rPr>
        <w:t>比选活动</w:t>
      </w:r>
      <w:r>
        <w:rPr>
          <w:rFonts w:hint="eastAsia" w:ascii="宋体" w:hAnsi="宋体" w:eastAsia="宋体" w:cs="宋体"/>
          <w:color w:val="auto"/>
          <w:kern w:val="0"/>
          <w:sz w:val="24"/>
          <w:highlight w:val="none"/>
        </w:rPr>
        <w:t>的依据，同时也是资格审查的重要依据，具有准法律文件性质。比选文件用以阐明项目所需的资质及服务要求、</w:t>
      </w:r>
      <w:r>
        <w:rPr>
          <w:rFonts w:hint="eastAsia" w:ascii="宋体" w:hAnsi="宋体" w:eastAsia="宋体" w:cs="宋体"/>
          <w:color w:val="auto"/>
          <w:sz w:val="24"/>
          <w:highlight w:val="none"/>
        </w:rPr>
        <w:t>竞争报价</w:t>
      </w:r>
      <w:r>
        <w:rPr>
          <w:rFonts w:hint="eastAsia" w:ascii="宋体" w:hAnsi="宋体" w:eastAsia="宋体" w:cs="宋体"/>
          <w:color w:val="auto"/>
          <w:kern w:val="0"/>
          <w:sz w:val="24"/>
          <w:highlight w:val="none"/>
        </w:rPr>
        <w:t>（或随机抽取）业务规则及流程、比选程序、有关规定和注意事项以及</w:t>
      </w:r>
      <w:r>
        <w:rPr>
          <w:rFonts w:hint="eastAsia" w:ascii="宋体" w:hAnsi="宋体" w:eastAsia="宋体" w:cs="宋体"/>
          <w:color w:val="auto"/>
          <w:kern w:val="0"/>
          <w:sz w:val="24"/>
          <w:highlight w:val="none"/>
          <w:u w:val="single"/>
        </w:rPr>
        <w:t>《</w:t>
      </w:r>
      <w:r>
        <w:rPr>
          <w:rFonts w:hint="eastAsia" w:ascii="宋体" w:hAnsi="宋体" w:cs="宋体"/>
          <w:color w:val="auto"/>
          <w:kern w:val="0"/>
          <w:sz w:val="24"/>
          <w:highlight w:val="none"/>
          <w:u w:val="single"/>
          <w:lang w:eastAsia="zh-CN"/>
        </w:rPr>
        <w:t>成都汽车职业技术学校2026年学生视力筛查服务采购项目</w:t>
      </w:r>
      <w:r>
        <w:rPr>
          <w:rFonts w:hint="eastAsia" w:ascii="宋体" w:hAnsi="宋体" w:eastAsia="宋体" w:cs="宋体"/>
          <w:color w:val="auto"/>
          <w:kern w:val="0"/>
          <w:sz w:val="24"/>
          <w:highlight w:val="none"/>
          <w:u w:val="single"/>
        </w:rPr>
        <w:t>》</w:t>
      </w:r>
      <w:r>
        <w:rPr>
          <w:rFonts w:hint="eastAsia" w:ascii="宋体" w:hAnsi="宋体" w:eastAsia="宋体" w:cs="宋体"/>
          <w:color w:val="auto"/>
          <w:kern w:val="0"/>
          <w:sz w:val="24"/>
          <w:highlight w:val="none"/>
        </w:rPr>
        <w:t>主要条款等。本比选文件包括以下内容：</w:t>
      </w:r>
    </w:p>
    <w:p w14:paraId="03ACAE98">
      <w:pPr>
        <w:tabs>
          <w:tab w:val="left" w:pos="720"/>
        </w:tabs>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（一）比选公告</w:t>
      </w:r>
      <w:r>
        <w:rPr>
          <w:rFonts w:hint="eastAsia" w:ascii="宋体" w:hAnsi="宋体" w:eastAsia="宋体" w:cs="宋体"/>
          <w:color w:val="auto"/>
          <w:sz w:val="24"/>
          <w:highlight w:val="none"/>
        </w:rPr>
        <w:t>；</w:t>
      </w:r>
    </w:p>
    <w:p w14:paraId="12B2AA54">
      <w:pPr>
        <w:tabs>
          <w:tab w:val="left" w:pos="720"/>
        </w:tabs>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（二）投标人须知；</w:t>
      </w:r>
    </w:p>
    <w:p w14:paraId="6B3D1954">
      <w:pPr>
        <w:tabs>
          <w:tab w:val="left" w:pos="720"/>
        </w:tabs>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（三）投标文件格式；</w:t>
      </w:r>
    </w:p>
    <w:p w14:paraId="220189ED">
      <w:pPr>
        <w:tabs>
          <w:tab w:val="left" w:pos="720"/>
        </w:tabs>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（四）资格审查；</w:t>
      </w:r>
    </w:p>
    <w:p w14:paraId="3526ABA8">
      <w:pPr>
        <w:tabs>
          <w:tab w:val="left" w:pos="720"/>
        </w:tabs>
        <w:spacing w:after="0" w:line="580" w:lineRule="exact"/>
        <w:ind w:firstLine="482" w:firstLineChars="200"/>
        <w:contextualSpacing/>
        <w:jc w:val="left"/>
        <w:rPr>
          <w:rFonts w:hint="eastAsia" w:ascii="宋体" w:hAnsi="宋体" w:eastAsia="宋体" w:cs="宋体"/>
          <w:color w:val="auto"/>
          <w:sz w:val="24"/>
          <w:highlight w:val="none"/>
        </w:rPr>
      </w:pPr>
      <w:bookmarkStart w:id="34" w:name="_Toc183682348"/>
      <w:bookmarkStart w:id="35" w:name="_Toc183582211"/>
      <w:bookmarkStart w:id="36" w:name="_Toc217446040"/>
      <w:r>
        <w:rPr>
          <w:rFonts w:hint="eastAsia" w:ascii="宋体" w:hAnsi="宋体" w:eastAsia="宋体" w:cs="宋体"/>
          <w:b/>
          <w:color w:val="auto"/>
          <w:sz w:val="24"/>
          <w:highlight w:val="none"/>
        </w:rPr>
        <w:t>7.比选文件的澄清</w:t>
      </w:r>
      <w:bookmarkEnd w:id="34"/>
      <w:bookmarkEnd w:id="35"/>
      <w:r>
        <w:rPr>
          <w:rFonts w:hint="eastAsia" w:ascii="宋体" w:hAnsi="宋体" w:eastAsia="宋体" w:cs="宋体"/>
          <w:b/>
          <w:color w:val="auto"/>
          <w:sz w:val="24"/>
          <w:highlight w:val="none"/>
        </w:rPr>
        <w:t>和修改</w:t>
      </w:r>
      <w:bookmarkEnd w:id="36"/>
    </w:p>
    <w:p w14:paraId="27940AC0">
      <w:pPr>
        <w:tabs>
          <w:tab w:val="left" w:pos="720"/>
        </w:tabs>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7.1比选主体可以对比选文件进行澄清或者修改。</w:t>
      </w:r>
    </w:p>
    <w:p w14:paraId="756D1C7F">
      <w:pPr>
        <w:tabs>
          <w:tab w:val="left" w:pos="720"/>
        </w:tabs>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7.2比选主体对已发出的比选文件进行澄清或者修改，应当以书面形式将澄清或者修改的内容通知所有获取比选文件的投标人。澄清或者修改的内容为比选文件的组成部分，澄清或者修改的内容可能影响投标人对投标文件编制的，比选主体发布公告并书面通知投标人的时间，应当在投标文件递交截止时间至少15日前；不足15日的，应当顺延提交投标文件的截止时间。</w:t>
      </w:r>
    </w:p>
    <w:p w14:paraId="75EB2F8A">
      <w:pPr>
        <w:tabs>
          <w:tab w:val="left" w:pos="720"/>
        </w:tabs>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7.3投标人应于投标文件递交截止时间之前查询本项目的修改或澄清公告，以保证其对比选文件做出正确的响应。投标人未按要求了解相关文件，或由于未及时关注修改或澄清公告的信息造成的后果，相关责任由投标人自行承担。</w:t>
      </w:r>
    </w:p>
    <w:p w14:paraId="5A8BC7A1">
      <w:pPr>
        <w:tabs>
          <w:tab w:val="left" w:pos="7665"/>
        </w:tabs>
        <w:spacing w:after="0" w:line="580" w:lineRule="exact"/>
        <w:ind w:firstLine="480" w:firstLineChars="200"/>
        <w:contextualSpacing/>
        <w:jc w:val="left"/>
        <w:rPr>
          <w:rFonts w:hint="eastAsia" w:ascii="宋体" w:hAnsi="宋体" w:eastAsia="宋体" w:cs="宋体"/>
          <w:color w:val="auto"/>
          <w:sz w:val="32"/>
          <w:szCs w:val="32"/>
          <w:highlight w:val="none"/>
        </w:rPr>
      </w:pPr>
      <w:r>
        <w:rPr>
          <w:rFonts w:hint="eastAsia" w:ascii="宋体" w:hAnsi="宋体" w:eastAsia="宋体" w:cs="宋体"/>
          <w:color w:val="auto"/>
          <w:sz w:val="24"/>
          <w:highlight w:val="none"/>
        </w:rPr>
        <w:t>7.4在投标文件递交截止时间前，投标人可以对所递交的投标文件进行补充、修改或者撤回，并书面通知比选主体（成都汽车职业技术学校）。补充、修改的内容应当按照比选文件要求签署、盖章、密封后，作为投标文件的组成部分。</w:t>
      </w:r>
    </w:p>
    <w:p w14:paraId="3F764720">
      <w:pPr>
        <w:pStyle w:val="5"/>
        <w:spacing w:before="0" w:after="0" w:line="580" w:lineRule="exact"/>
        <w:contextualSpacing/>
        <w:jc w:val="center"/>
        <w:rPr>
          <w:rFonts w:hint="eastAsia" w:ascii="宋体" w:hAnsi="宋体" w:eastAsia="宋体" w:cs="宋体"/>
          <w:b w:val="0"/>
          <w:bCs w:val="0"/>
          <w:color w:val="auto"/>
          <w:highlight w:val="none"/>
        </w:rPr>
      </w:pPr>
      <w:bookmarkStart w:id="37" w:name="_Toc77400780"/>
      <w:bookmarkStart w:id="38" w:name="_Toc183682351"/>
      <w:bookmarkStart w:id="39" w:name="_Toc89075876"/>
      <w:bookmarkStart w:id="40" w:name="_Toc183582214"/>
      <w:bookmarkStart w:id="41" w:name="_Toc217446042"/>
      <w:r>
        <w:rPr>
          <w:rFonts w:hint="eastAsia" w:ascii="宋体" w:hAnsi="宋体" w:eastAsia="宋体" w:cs="宋体"/>
          <w:b w:val="0"/>
          <w:bCs w:val="0"/>
          <w:color w:val="auto"/>
          <w:highlight w:val="none"/>
        </w:rPr>
        <w:t>四、投标文件</w:t>
      </w:r>
      <w:bookmarkEnd w:id="37"/>
      <w:bookmarkEnd w:id="38"/>
      <w:bookmarkEnd w:id="39"/>
      <w:bookmarkEnd w:id="40"/>
      <w:bookmarkEnd w:id="41"/>
    </w:p>
    <w:p w14:paraId="37937616">
      <w:pPr>
        <w:pStyle w:val="6"/>
        <w:spacing w:before="0" w:after="0" w:line="580" w:lineRule="exact"/>
        <w:ind w:firstLine="482" w:firstLineChars="200"/>
        <w:contextualSpacing/>
        <w:jc w:val="left"/>
        <w:rPr>
          <w:rFonts w:hint="eastAsia" w:ascii="宋体" w:hAnsi="宋体" w:eastAsia="宋体" w:cs="宋体"/>
          <w:color w:val="auto"/>
          <w:sz w:val="24"/>
          <w:szCs w:val="24"/>
          <w:highlight w:val="none"/>
        </w:rPr>
      </w:pPr>
      <w:bookmarkStart w:id="42" w:name="_Toc217446048"/>
      <w:bookmarkStart w:id="43" w:name="_Toc183582217"/>
      <w:bookmarkStart w:id="44" w:name="_Toc308164798"/>
      <w:bookmarkStart w:id="45" w:name="_Toc183682354"/>
      <w:r>
        <w:rPr>
          <w:rFonts w:hint="eastAsia" w:ascii="宋体" w:hAnsi="宋体" w:eastAsia="宋体" w:cs="宋体"/>
          <w:color w:val="auto"/>
          <w:sz w:val="24"/>
          <w:szCs w:val="24"/>
          <w:highlight w:val="none"/>
        </w:rPr>
        <w:t>8.投标文件的组成</w:t>
      </w:r>
      <w:bookmarkEnd w:id="42"/>
      <w:bookmarkEnd w:id="43"/>
      <w:bookmarkEnd w:id="44"/>
      <w:bookmarkEnd w:id="45"/>
    </w:p>
    <w:p w14:paraId="2F25ED34">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投标人应按照比选文件的规定和要求编制投标文件。投标人编写的投标文件应包括但不限于下列部分：</w:t>
      </w:r>
    </w:p>
    <w:p w14:paraId="5D09BB1B">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一、法定代表人授权书</w:t>
      </w:r>
    </w:p>
    <w:p w14:paraId="595BE521">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二、比选申请书</w:t>
      </w:r>
    </w:p>
    <w:p w14:paraId="35721987">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三、眼科医疗机构资质证明文件（《医疗机构执业许可证》、营业执照副本、法人身份证复印件、从业人员的资格证书复印件、公安部备案的信息安全备案证等）</w:t>
      </w:r>
      <w:r>
        <w:rPr>
          <w:rFonts w:hint="eastAsia" w:ascii="宋体" w:hAnsi="宋体" w:cs="宋体"/>
          <w:color w:val="auto"/>
          <w:sz w:val="24"/>
          <w:highlight w:val="none"/>
          <w:lang w:val="en-US" w:eastAsia="zh-CN"/>
        </w:rPr>
        <w:t>等</w:t>
      </w:r>
      <w:r>
        <w:rPr>
          <w:rFonts w:hint="eastAsia" w:ascii="宋体" w:hAnsi="宋体" w:eastAsia="宋体" w:cs="宋体"/>
          <w:color w:val="auto"/>
          <w:sz w:val="24"/>
          <w:highlight w:val="none"/>
        </w:rPr>
        <w:t>公司相关资料</w:t>
      </w:r>
    </w:p>
    <w:p w14:paraId="754A1127">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四、检测设备合格证、业绩资料等</w:t>
      </w:r>
    </w:p>
    <w:p w14:paraId="3580FF74">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五、承诺函</w:t>
      </w:r>
    </w:p>
    <w:p w14:paraId="30D4C967">
      <w:pPr>
        <w:pStyle w:val="6"/>
        <w:tabs>
          <w:tab w:val="left" w:pos="3480"/>
        </w:tabs>
        <w:spacing w:before="0" w:after="0" w:line="580" w:lineRule="exact"/>
        <w:ind w:firstLine="482" w:firstLineChars="200"/>
        <w:contextualSpacing/>
        <w:jc w:val="left"/>
        <w:rPr>
          <w:rFonts w:hint="eastAsia" w:ascii="宋体" w:hAnsi="宋体" w:eastAsia="宋体" w:cs="宋体"/>
          <w:color w:val="auto"/>
          <w:sz w:val="24"/>
          <w:szCs w:val="24"/>
          <w:highlight w:val="none"/>
        </w:rPr>
      </w:pPr>
      <w:bookmarkStart w:id="46" w:name="_Toc183682355"/>
      <w:bookmarkStart w:id="47" w:name="_Toc308164799"/>
      <w:bookmarkStart w:id="48" w:name="_Toc217446049"/>
      <w:bookmarkStart w:id="49" w:name="_Toc183582218"/>
      <w:r>
        <w:rPr>
          <w:rFonts w:hint="eastAsia" w:ascii="宋体" w:hAnsi="宋体" w:eastAsia="宋体" w:cs="宋体"/>
          <w:color w:val="auto"/>
          <w:sz w:val="24"/>
          <w:szCs w:val="24"/>
          <w:highlight w:val="none"/>
        </w:rPr>
        <w:t>9.投标文件格式</w:t>
      </w:r>
      <w:bookmarkEnd w:id="46"/>
      <w:bookmarkEnd w:id="47"/>
      <w:bookmarkEnd w:id="48"/>
      <w:bookmarkEnd w:id="49"/>
    </w:p>
    <w:p w14:paraId="6E3F3A19">
      <w:pPr>
        <w:tabs>
          <w:tab w:val="left" w:pos="7665"/>
        </w:tabs>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9.1投标人应执行投标文件第三章的规定要求。第三章格式中“注”的内容，投标人可自行决定是否保留在投标文件中，未保留的视为完全接受“注”的内容。</w:t>
      </w:r>
    </w:p>
    <w:p w14:paraId="0AA4CE71">
      <w:pPr>
        <w:tabs>
          <w:tab w:val="left" w:pos="7665"/>
        </w:tabs>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9.2对于没有格式要求的内容由投标人自行编写。</w:t>
      </w:r>
    </w:p>
    <w:p w14:paraId="6F90742E">
      <w:pPr>
        <w:spacing w:after="0" w:line="580" w:lineRule="exact"/>
        <w:ind w:firstLine="482"/>
        <w:contextualSpacing/>
        <w:jc w:val="left"/>
        <w:rPr>
          <w:rFonts w:hint="eastAsia" w:ascii="宋体" w:hAnsi="宋体" w:eastAsia="宋体" w:cs="宋体"/>
          <w:color w:val="auto"/>
          <w:sz w:val="24"/>
          <w:highlight w:val="none"/>
        </w:rPr>
      </w:pPr>
      <w:bookmarkStart w:id="50" w:name="_Toc217446052"/>
      <w:bookmarkStart w:id="51" w:name="_Toc183682362"/>
      <w:bookmarkStart w:id="52" w:name="_Toc183582225"/>
      <w:bookmarkStart w:id="53" w:name="_Toc308164802"/>
      <w:r>
        <w:rPr>
          <w:rFonts w:hint="eastAsia" w:ascii="宋体" w:hAnsi="宋体" w:eastAsia="宋体" w:cs="宋体"/>
          <w:b/>
          <w:bCs/>
          <w:color w:val="auto"/>
          <w:sz w:val="24"/>
          <w:highlight w:val="none"/>
        </w:rPr>
        <w:t>10.投标文件的印制和签署</w:t>
      </w:r>
      <w:bookmarkEnd w:id="50"/>
      <w:bookmarkEnd w:id="51"/>
      <w:bookmarkEnd w:id="52"/>
      <w:bookmarkEnd w:id="53"/>
    </w:p>
    <w:p w14:paraId="13C5EC38">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10.1投标文件正本1份，须在封面上清楚地标明项目名称、投标人名称。</w:t>
      </w:r>
    </w:p>
    <w:p w14:paraId="2B03DC37">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10.2投标文件需打印或用不褪色、不变质的墨水书写。</w:t>
      </w:r>
    </w:p>
    <w:p w14:paraId="4E23E27A">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10.3投标文件应由投标人的企业法人或企业主要负责人或其授权代表在投标文件要求的地方签字，要求加盖公章的地方加盖单位公章，不得使用专用章（如经济合同章、投标专用章等）或下属单位印章代替。</w:t>
      </w:r>
    </w:p>
    <w:p w14:paraId="51B43A83">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10.4投标文件的打印和书写应清楚工整，任何行间插字、涂改或增删，必须由投标人的企业法人或企业主要负责人或其授权代表签字。</w:t>
      </w:r>
    </w:p>
    <w:p w14:paraId="0A35856A">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10.5投标文件应当采取胶装方式装订成册，不得散装或者活页装订。</w:t>
      </w:r>
    </w:p>
    <w:p w14:paraId="424BF479">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10.6投标文件应根据比选文件的要求制作，签署、盖章和内容应完整。投标文件统一用A4幅面纸印制，逐页编码。</w:t>
      </w:r>
    </w:p>
    <w:p w14:paraId="76EE8BF0">
      <w:pPr>
        <w:pStyle w:val="6"/>
        <w:spacing w:before="0" w:after="0" w:line="580" w:lineRule="exact"/>
        <w:ind w:firstLine="482" w:firstLineChars="200"/>
        <w:contextualSpacing/>
        <w:jc w:val="left"/>
        <w:rPr>
          <w:rFonts w:hint="eastAsia" w:ascii="宋体" w:hAnsi="宋体" w:eastAsia="宋体" w:cs="宋体"/>
          <w:color w:val="auto"/>
          <w:sz w:val="24"/>
          <w:szCs w:val="24"/>
          <w:highlight w:val="none"/>
        </w:rPr>
      </w:pPr>
      <w:bookmarkStart w:id="54" w:name="_Toc183582226"/>
      <w:bookmarkStart w:id="55" w:name="_Toc183682363"/>
      <w:bookmarkStart w:id="56" w:name="_Toc89075877"/>
      <w:bookmarkStart w:id="57" w:name="_Toc77400781"/>
      <w:bookmarkStart w:id="58" w:name="_Toc308164803"/>
      <w:bookmarkStart w:id="59" w:name="_Toc217446053"/>
      <w:r>
        <w:rPr>
          <w:rFonts w:hint="eastAsia" w:ascii="宋体" w:hAnsi="宋体" w:eastAsia="宋体" w:cs="宋体"/>
          <w:bCs w:val="0"/>
          <w:color w:val="auto"/>
          <w:sz w:val="24"/>
          <w:szCs w:val="24"/>
          <w:highlight w:val="none"/>
        </w:rPr>
        <w:t>11.</w:t>
      </w:r>
      <w:r>
        <w:rPr>
          <w:rFonts w:hint="eastAsia" w:ascii="宋体" w:hAnsi="宋体" w:eastAsia="宋体" w:cs="宋体"/>
          <w:color w:val="auto"/>
          <w:sz w:val="24"/>
          <w:szCs w:val="24"/>
          <w:highlight w:val="none"/>
        </w:rPr>
        <w:t>投标文件的密封和标</w:t>
      </w:r>
      <w:bookmarkEnd w:id="54"/>
      <w:bookmarkEnd w:id="55"/>
      <w:bookmarkEnd w:id="56"/>
      <w:bookmarkEnd w:id="57"/>
      <w:r>
        <w:rPr>
          <w:rFonts w:hint="eastAsia" w:ascii="宋体" w:hAnsi="宋体" w:eastAsia="宋体" w:cs="宋体"/>
          <w:color w:val="auto"/>
          <w:sz w:val="24"/>
          <w:szCs w:val="24"/>
          <w:highlight w:val="none"/>
        </w:rPr>
        <w:t>注</w:t>
      </w:r>
      <w:bookmarkEnd w:id="58"/>
      <w:bookmarkEnd w:id="59"/>
    </w:p>
    <w:p w14:paraId="387B690E">
      <w:pPr>
        <w:tabs>
          <w:tab w:val="left" w:pos="1080"/>
        </w:tabs>
        <w:spacing w:after="0" w:line="580" w:lineRule="exact"/>
        <w:ind w:firstLine="460" w:firstLineChars="192"/>
        <w:contextualSpacing/>
        <w:jc w:val="left"/>
        <w:rPr>
          <w:rFonts w:hint="eastAsia" w:ascii="宋体" w:hAnsi="宋体" w:eastAsia="宋体" w:cs="宋体"/>
          <w:color w:val="auto"/>
          <w:sz w:val="24"/>
          <w:highlight w:val="none"/>
        </w:rPr>
      </w:pPr>
      <w:bookmarkStart w:id="60" w:name="_Toc183582227"/>
      <w:bookmarkStart w:id="61" w:name="_Toc183682364"/>
      <w:bookmarkStart w:id="62" w:name="_Toc217446054"/>
      <w:bookmarkStart w:id="63" w:name="_Toc308164804"/>
      <w:r>
        <w:rPr>
          <w:rFonts w:hint="eastAsia" w:ascii="宋体" w:hAnsi="宋体" w:eastAsia="宋体" w:cs="宋体"/>
          <w:color w:val="auto"/>
          <w:sz w:val="24"/>
          <w:highlight w:val="none"/>
        </w:rPr>
        <w:t>本项目投标文件</w:t>
      </w:r>
      <w:r>
        <w:rPr>
          <w:rFonts w:hint="eastAsia" w:ascii="宋体" w:hAnsi="宋体" w:cs="宋体"/>
          <w:color w:val="auto"/>
          <w:sz w:val="24"/>
          <w:highlight w:val="none"/>
          <w:lang w:eastAsia="zh-CN"/>
        </w:rPr>
        <w:t>须</w:t>
      </w:r>
      <w:r>
        <w:rPr>
          <w:rFonts w:hint="eastAsia" w:ascii="宋体" w:hAnsi="宋体" w:eastAsia="宋体" w:cs="宋体"/>
          <w:color w:val="auto"/>
          <w:sz w:val="24"/>
          <w:highlight w:val="none"/>
        </w:rPr>
        <w:t>密封。</w:t>
      </w:r>
    </w:p>
    <w:p w14:paraId="717A0318">
      <w:pPr>
        <w:pStyle w:val="6"/>
        <w:spacing w:before="0" w:after="0" w:line="580" w:lineRule="exact"/>
        <w:ind w:firstLine="482" w:firstLineChars="200"/>
        <w:contextualSpacing/>
        <w:jc w:val="left"/>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12.投标文件的</w:t>
      </w:r>
      <w:bookmarkEnd w:id="60"/>
      <w:bookmarkEnd w:id="61"/>
      <w:r>
        <w:rPr>
          <w:rFonts w:hint="eastAsia" w:ascii="宋体" w:hAnsi="宋体" w:eastAsia="宋体" w:cs="宋体"/>
          <w:bCs w:val="0"/>
          <w:color w:val="auto"/>
          <w:sz w:val="24"/>
          <w:szCs w:val="24"/>
          <w:highlight w:val="none"/>
        </w:rPr>
        <w:t>递交</w:t>
      </w:r>
      <w:bookmarkEnd w:id="62"/>
      <w:bookmarkEnd w:id="63"/>
    </w:p>
    <w:p w14:paraId="70D594B8">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12.1投标人应在比选文件规定的投标文件递交截止时间前，将投标文件按比选文件的规定密封后送达指定地点。投标文件递交截止时间以后送达的文件将不予接收。</w:t>
      </w:r>
    </w:p>
    <w:p w14:paraId="4CB7515A">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12.2递交投标文件时，报名投标人名称和比选文件的文号应当与投标人名称和比选文件的文号一致。</w:t>
      </w:r>
    </w:p>
    <w:p w14:paraId="2FB8C2F0">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12.3本次比选活动不接收邮寄的投标文件。</w:t>
      </w:r>
    </w:p>
    <w:p w14:paraId="5E1B3179">
      <w:pPr>
        <w:pStyle w:val="6"/>
        <w:spacing w:before="0" w:after="0" w:line="580" w:lineRule="exact"/>
        <w:ind w:firstLine="482" w:firstLineChars="200"/>
        <w:contextualSpacing/>
        <w:jc w:val="left"/>
        <w:rPr>
          <w:rFonts w:hint="eastAsia" w:ascii="宋体" w:hAnsi="宋体" w:eastAsia="宋体" w:cs="宋体"/>
          <w:bCs w:val="0"/>
          <w:color w:val="auto"/>
          <w:sz w:val="24"/>
          <w:szCs w:val="24"/>
          <w:highlight w:val="none"/>
        </w:rPr>
      </w:pPr>
      <w:bookmarkStart w:id="64" w:name="_Toc183582228"/>
      <w:bookmarkStart w:id="65" w:name="_Toc183682365"/>
      <w:bookmarkStart w:id="66" w:name="_Toc217446055"/>
      <w:r>
        <w:rPr>
          <w:rFonts w:hint="eastAsia" w:ascii="宋体" w:hAnsi="宋体" w:eastAsia="宋体" w:cs="宋体"/>
          <w:bCs w:val="0"/>
          <w:color w:val="auto"/>
          <w:sz w:val="24"/>
          <w:szCs w:val="24"/>
          <w:highlight w:val="none"/>
        </w:rPr>
        <w:t>13.投标文件的补充、修改或撤</w:t>
      </w:r>
      <w:bookmarkEnd w:id="64"/>
      <w:bookmarkEnd w:id="65"/>
      <w:r>
        <w:rPr>
          <w:rFonts w:hint="eastAsia" w:ascii="宋体" w:hAnsi="宋体" w:eastAsia="宋体" w:cs="宋体"/>
          <w:bCs w:val="0"/>
          <w:color w:val="auto"/>
          <w:sz w:val="24"/>
          <w:szCs w:val="24"/>
          <w:highlight w:val="none"/>
        </w:rPr>
        <w:t>回</w:t>
      </w:r>
      <w:bookmarkEnd w:id="66"/>
    </w:p>
    <w:p w14:paraId="5445E950">
      <w:pPr>
        <w:spacing w:after="0" w:line="580" w:lineRule="exact"/>
        <w:ind w:firstLine="470" w:firstLineChars="196"/>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13.1投标人在递交投标文件后，可以补充、修改或撤回其投标文件，但必须在规定的截止时间前，以书面形式通知比选主体。</w:t>
      </w:r>
    </w:p>
    <w:p w14:paraId="191493A8">
      <w:pPr>
        <w:spacing w:after="0" w:line="580" w:lineRule="exact"/>
        <w:ind w:firstLine="470" w:firstLineChars="196"/>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13.2投标人补充或修改的内容，应由其企业法定代表人（或企业主要负责人）或其授权代表签署并加盖单位公章，并进行密封和标注。密封袋上应当注明投标人名称、项目名称及标段号，并在密封袋上标注“补充”或“修改”字样。</w:t>
      </w:r>
    </w:p>
    <w:p w14:paraId="45715598">
      <w:pPr>
        <w:spacing w:after="0" w:line="580" w:lineRule="exact"/>
        <w:ind w:firstLine="48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13.3在投标文件递交截止时间之后，投标人不得对其递交的投标文件做任何修改，撤回其投标文件的，将按照有关规定进行相应处理。</w:t>
      </w:r>
    </w:p>
    <w:p w14:paraId="27ED7F96">
      <w:pPr>
        <w:pStyle w:val="5"/>
        <w:spacing w:before="0" w:after="0" w:line="580" w:lineRule="exact"/>
        <w:contextualSpacing/>
        <w:jc w:val="center"/>
        <w:rPr>
          <w:rFonts w:hint="eastAsia" w:ascii="宋体" w:hAnsi="宋体" w:eastAsia="宋体" w:cs="宋体"/>
          <w:b w:val="0"/>
          <w:bCs w:val="0"/>
          <w:color w:val="auto"/>
          <w:highlight w:val="none"/>
        </w:rPr>
      </w:pPr>
      <w:bookmarkStart w:id="67" w:name="_Toc77400782"/>
      <w:bookmarkStart w:id="68" w:name="_Toc217446056"/>
      <w:bookmarkStart w:id="69" w:name="_Toc183682368"/>
      <w:bookmarkStart w:id="70" w:name="_Toc308164805"/>
      <w:bookmarkStart w:id="71" w:name="_Toc183582231"/>
      <w:bookmarkStart w:id="72" w:name="_Toc89075878"/>
      <w:r>
        <w:rPr>
          <w:rFonts w:hint="eastAsia" w:ascii="宋体" w:hAnsi="宋体" w:eastAsia="宋体" w:cs="宋体"/>
          <w:b w:val="0"/>
          <w:bCs w:val="0"/>
          <w:color w:val="auto"/>
          <w:highlight w:val="none"/>
        </w:rPr>
        <w:t>五、</w:t>
      </w:r>
      <w:bookmarkEnd w:id="67"/>
      <w:bookmarkEnd w:id="68"/>
      <w:bookmarkEnd w:id="69"/>
      <w:bookmarkEnd w:id="70"/>
      <w:bookmarkEnd w:id="71"/>
      <w:bookmarkEnd w:id="72"/>
      <w:r>
        <w:rPr>
          <w:rFonts w:hint="eastAsia" w:ascii="宋体" w:hAnsi="宋体" w:eastAsia="宋体" w:cs="宋体"/>
          <w:b w:val="0"/>
          <w:bCs w:val="0"/>
          <w:color w:val="auto"/>
          <w:highlight w:val="none"/>
        </w:rPr>
        <w:t>比选流程</w:t>
      </w:r>
    </w:p>
    <w:p w14:paraId="5D446F63">
      <w:pPr>
        <w:pStyle w:val="6"/>
        <w:spacing w:before="0" w:after="0" w:line="580" w:lineRule="exact"/>
        <w:ind w:firstLine="482" w:firstLineChars="200"/>
        <w:contextualSpacing/>
        <w:jc w:val="left"/>
        <w:rPr>
          <w:rFonts w:hint="eastAsia" w:ascii="宋体" w:hAnsi="宋体" w:eastAsia="宋体" w:cs="宋体"/>
          <w:bCs w:val="0"/>
          <w:color w:val="auto"/>
          <w:sz w:val="24"/>
          <w:szCs w:val="24"/>
          <w:highlight w:val="none"/>
        </w:rPr>
      </w:pPr>
      <w:bookmarkStart w:id="73" w:name="_Toc183682369"/>
      <w:bookmarkStart w:id="74" w:name="_Toc217446057"/>
      <w:bookmarkStart w:id="75" w:name="_Toc308164806"/>
      <w:bookmarkStart w:id="76" w:name="_Toc183582232"/>
      <w:r>
        <w:rPr>
          <w:rFonts w:hint="eastAsia" w:ascii="宋体" w:hAnsi="宋体" w:eastAsia="宋体" w:cs="宋体"/>
          <w:bCs w:val="0"/>
          <w:color w:val="auto"/>
          <w:sz w:val="24"/>
          <w:szCs w:val="24"/>
          <w:highlight w:val="none"/>
        </w:rPr>
        <w:t>14.</w:t>
      </w:r>
      <w:bookmarkEnd w:id="73"/>
      <w:bookmarkEnd w:id="74"/>
      <w:bookmarkEnd w:id="75"/>
      <w:bookmarkEnd w:id="76"/>
      <w:r>
        <w:rPr>
          <w:rFonts w:hint="eastAsia" w:ascii="宋体" w:hAnsi="宋体" w:eastAsia="宋体" w:cs="宋体"/>
          <w:bCs w:val="0"/>
          <w:color w:val="auto"/>
          <w:sz w:val="24"/>
          <w:szCs w:val="24"/>
          <w:highlight w:val="none"/>
        </w:rPr>
        <w:t>审查程序</w:t>
      </w:r>
    </w:p>
    <w:p w14:paraId="25721743">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14.1投标人制作、递交“投标文件”</w:t>
      </w:r>
    </w:p>
    <w:p w14:paraId="24F32734">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14.2审查“投标文件”</w:t>
      </w:r>
    </w:p>
    <w:p w14:paraId="1F33C2C5">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成都汽车职业技术学校组建审查小组负责资格审查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评标结果按投标报价由低到高顺序排列；投标报价相同的并列，</w:t>
      </w:r>
      <w:r>
        <w:rPr>
          <w:rFonts w:hint="eastAsia" w:ascii="宋体" w:hAnsi="宋体" w:eastAsia="宋体" w:cs="宋体"/>
          <w:color w:val="auto"/>
          <w:sz w:val="24"/>
          <w:highlight w:val="none"/>
          <w:lang w:val="en-US" w:eastAsia="zh-CN"/>
        </w:rPr>
        <w:t>投标文件</w:t>
      </w:r>
      <w:r>
        <w:rPr>
          <w:rFonts w:hint="eastAsia" w:ascii="宋体" w:hAnsi="宋体" w:eastAsia="宋体" w:cs="宋体"/>
          <w:color w:val="auto"/>
          <w:sz w:val="24"/>
          <w:highlight w:val="none"/>
        </w:rPr>
        <w:t>满足比选文件全部实质性要求且投标报价最低的比选申请人为中标候选人；报价相同且满足比选文件全部实质性要求的并列，由比选人自主采取公平、择优的方式选择中标比选申请人。</w:t>
      </w:r>
    </w:p>
    <w:p w14:paraId="1FC3C0FB">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14.3比选结果公告</w:t>
      </w:r>
    </w:p>
    <w:p w14:paraId="33CF269D">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评审结束后，结果将通过电话或邮件的方式通知投标人。</w:t>
      </w:r>
    </w:p>
    <w:p w14:paraId="2D092F2D">
      <w:pPr>
        <w:pStyle w:val="6"/>
        <w:spacing w:before="0" w:after="0" w:line="580" w:lineRule="exact"/>
        <w:ind w:firstLine="482" w:firstLineChars="200"/>
        <w:contextualSpacing/>
        <w:jc w:val="left"/>
        <w:rPr>
          <w:rFonts w:hint="eastAsia" w:ascii="宋体" w:hAnsi="宋体" w:eastAsia="宋体" w:cs="宋体"/>
          <w:color w:val="auto"/>
          <w:sz w:val="24"/>
          <w:szCs w:val="24"/>
          <w:highlight w:val="none"/>
        </w:rPr>
      </w:pPr>
      <w:bookmarkStart w:id="77" w:name="_Toc183582238"/>
      <w:bookmarkStart w:id="78" w:name="_Toc308164809"/>
      <w:bookmarkStart w:id="79" w:name="_Toc217446063"/>
      <w:bookmarkStart w:id="80" w:name="_Toc183682375"/>
      <w:r>
        <w:rPr>
          <w:rFonts w:hint="eastAsia" w:ascii="宋体" w:hAnsi="宋体" w:eastAsia="宋体" w:cs="宋体"/>
          <w:color w:val="auto"/>
          <w:sz w:val="24"/>
          <w:szCs w:val="24"/>
          <w:highlight w:val="none"/>
        </w:rPr>
        <w:t>15.签订合同</w:t>
      </w:r>
    </w:p>
    <w:p w14:paraId="54639887">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15.1中选投标人应在规定日期内与成都汽车职业技术学校签订《</w:t>
      </w:r>
      <w:r>
        <w:rPr>
          <w:rFonts w:hint="eastAsia" w:ascii="宋体" w:hAnsi="宋体" w:cs="宋体"/>
          <w:color w:val="auto"/>
          <w:sz w:val="24"/>
          <w:highlight w:val="none"/>
          <w:lang w:eastAsia="zh-CN"/>
        </w:rPr>
        <w:t>成都汽车职业技术学校2026年学生视力筛查服务采购项目</w:t>
      </w:r>
      <w:r>
        <w:rPr>
          <w:rFonts w:hint="eastAsia" w:ascii="宋体" w:hAnsi="宋体" w:eastAsia="宋体" w:cs="宋体"/>
          <w:color w:val="auto"/>
          <w:sz w:val="24"/>
          <w:highlight w:val="none"/>
        </w:rPr>
        <w:t>协议》。因入选投标人的原因逾期未与成都汽车职业技术学校签订《</w:t>
      </w:r>
      <w:r>
        <w:rPr>
          <w:rFonts w:hint="eastAsia" w:ascii="宋体" w:hAnsi="宋体" w:cs="宋体"/>
          <w:color w:val="auto"/>
          <w:sz w:val="24"/>
          <w:highlight w:val="none"/>
          <w:lang w:eastAsia="zh-CN"/>
        </w:rPr>
        <w:t>成都汽车职业技术学校2026年学生视力筛查服务采购项目</w:t>
      </w:r>
      <w:r>
        <w:rPr>
          <w:rFonts w:hint="eastAsia" w:ascii="宋体" w:hAnsi="宋体" w:eastAsia="宋体" w:cs="宋体"/>
          <w:color w:val="auto"/>
          <w:sz w:val="24"/>
          <w:highlight w:val="none"/>
        </w:rPr>
        <w:t>协议》，将视为放弃中选资格，比选主体（成都汽车职业技术学校）有权取消其中选资格并将参照相关规定进行处理。</w:t>
      </w:r>
    </w:p>
    <w:p w14:paraId="0BDF6251">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15.2比选主体（成都汽车职业技术学校）不得向中选投标人提出任何不合理的要求，作为签订《</w:t>
      </w:r>
      <w:r>
        <w:rPr>
          <w:rFonts w:hint="eastAsia" w:ascii="宋体" w:hAnsi="宋体" w:cs="宋体"/>
          <w:color w:val="auto"/>
          <w:sz w:val="24"/>
          <w:highlight w:val="none"/>
          <w:lang w:eastAsia="zh-CN"/>
        </w:rPr>
        <w:t>成都汽车职业技术学校2026年学生视力筛查服务采购项目</w:t>
      </w:r>
      <w:r>
        <w:rPr>
          <w:rFonts w:hint="eastAsia" w:ascii="宋体" w:hAnsi="宋体" w:eastAsia="宋体" w:cs="宋体"/>
          <w:color w:val="auto"/>
          <w:sz w:val="24"/>
          <w:highlight w:val="none"/>
        </w:rPr>
        <w:t>协议》的条件，不得与中选投标人私下订立背离比选文件、投标文件实质性内容的任何协议，所签订的《</w:t>
      </w:r>
      <w:r>
        <w:rPr>
          <w:rFonts w:hint="eastAsia" w:ascii="宋体" w:hAnsi="宋体" w:cs="宋体"/>
          <w:color w:val="auto"/>
          <w:sz w:val="24"/>
          <w:highlight w:val="none"/>
          <w:lang w:eastAsia="zh-CN"/>
        </w:rPr>
        <w:t>成都汽车职业技术学校2026年学生视力筛查服务采购项目</w:t>
      </w:r>
      <w:r>
        <w:rPr>
          <w:rFonts w:hint="eastAsia" w:ascii="宋体" w:hAnsi="宋体" w:eastAsia="宋体" w:cs="宋体"/>
          <w:color w:val="auto"/>
          <w:sz w:val="24"/>
          <w:highlight w:val="none"/>
        </w:rPr>
        <w:t>协议》不得对比选文件、投标文件作实质性修改。</w:t>
      </w:r>
    </w:p>
    <w:p w14:paraId="13CB66CA">
      <w:pPr>
        <w:pStyle w:val="6"/>
        <w:spacing w:before="0" w:after="0" w:line="580" w:lineRule="exact"/>
        <w:ind w:firstLine="482" w:firstLineChars="200"/>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16.转包</w:t>
      </w:r>
    </w:p>
    <w:bookmarkEnd w:id="77"/>
    <w:bookmarkEnd w:id="78"/>
    <w:bookmarkEnd w:id="79"/>
    <w:bookmarkEnd w:id="80"/>
    <w:p w14:paraId="7D33110C">
      <w:pPr>
        <w:spacing w:after="0" w:line="580" w:lineRule="exact"/>
        <w:ind w:firstLine="480" w:firstLineChars="200"/>
        <w:contextualSpacing/>
        <w:jc w:val="left"/>
        <w:rPr>
          <w:rFonts w:hint="eastAsia" w:ascii="宋体" w:hAnsi="宋体" w:eastAsia="宋体" w:cs="宋体"/>
          <w:color w:val="auto"/>
          <w:sz w:val="24"/>
          <w:highlight w:val="none"/>
        </w:rPr>
      </w:pPr>
      <w:bookmarkStart w:id="81" w:name="_Toc217446083"/>
      <w:r>
        <w:rPr>
          <w:rFonts w:hint="eastAsia" w:ascii="宋体" w:hAnsi="宋体" w:eastAsia="宋体" w:cs="宋体"/>
          <w:color w:val="auto"/>
          <w:sz w:val="24"/>
          <w:highlight w:val="none"/>
        </w:rPr>
        <w:t>严禁中选投标人将《</w:t>
      </w:r>
      <w:r>
        <w:rPr>
          <w:rFonts w:hint="eastAsia" w:ascii="宋体" w:hAnsi="宋体" w:cs="宋体"/>
          <w:color w:val="auto"/>
          <w:sz w:val="24"/>
          <w:highlight w:val="none"/>
          <w:lang w:eastAsia="zh-CN"/>
        </w:rPr>
        <w:t>成都汽车职业技术学校2026年学生视力筛查服务采购项目</w:t>
      </w:r>
      <w:r>
        <w:rPr>
          <w:rFonts w:hint="eastAsia" w:ascii="宋体" w:hAnsi="宋体" w:eastAsia="宋体" w:cs="宋体"/>
          <w:color w:val="auto"/>
          <w:sz w:val="24"/>
          <w:highlight w:val="none"/>
        </w:rPr>
        <w:t>协议》义务转包。转包是指中选投标人将《</w:t>
      </w:r>
      <w:r>
        <w:rPr>
          <w:rFonts w:hint="eastAsia" w:ascii="宋体" w:hAnsi="宋体" w:cs="宋体"/>
          <w:color w:val="auto"/>
          <w:sz w:val="24"/>
          <w:highlight w:val="none"/>
          <w:lang w:eastAsia="zh-CN"/>
        </w:rPr>
        <w:t>成都汽车职业技术学校2026年学生视力筛查服务采购项目</w:t>
      </w:r>
      <w:r>
        <w:rPr>
          <w:rFonts w:hint="eastAsia" w:ascii="宋体" w:hAnsi="宋体" w:eastAsia="宋体" w:cs="宋体"/>
          <w:color w:val="auto"/>
          <w:sz w:val="24"/>
          <w:highlight w:val="none"/>
        </w:rPr>
        <w:t>协议》义务转让给第三人，并退出现有合同当事人双方的权利义务关系，受让人（即第三人）成为合同另一方当事人的行为。</w:t>
      </w:r>
    </w:p>
    <w:p w14:paraId="2B21E602">
      <w:pPr>
        <w:spacing w:after="0" w:line="580" w:lineRule="exact"/>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中选投标人转包的，视同拒绝履行《</w:t>
      </w:r>
      <w:r>
        <w:rPr>
          <w:rFonts w:hint="eastAsia" w:ascii="宋体" w:hAnsi="宋体" w:cs="宋体"/>
          <w:color w:val="auto"/>
          <w:sz w:val="24"/>
          <w:highlight w:val="none"/>
          <w:lang w:eastAsia="zh-CN"/>
        </w:rPr>
        <w:t>成都汽车职业技术学校2026年学生视力筛查服务采购项目</w:t>
      </w:r>
      <w:r>
        <w:rPr>
          <w:rFonts w:hint="eastAsia" w:ascii="宋体" w:hAnsi="宋体" w:eastAsia="宋体" w:cs="宋体"/>
          <w:color w:val="auto"/>
          <w:sz w:val="24"/>
          <w:highlight w:val="none"/>
        </w:rPr>
        <w:t>协议》义务，将依法追究法律责任。</w:t>
      </w:r>
    </w:p>
    <w:p w14:paraId="4E819CE3">
      <w:pPr>
        <w:pStyle w:val="6"/>
        <w:spacing w:before="0" w:after="0" w:line="580" w:lineRule="exact"/>
        <w:ind w:firstLine="482" w:firstLineChars="200"/>
        <w:contextualSpacing/>
        <w:jc w:val="left"/>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17.其他</w:t>
      </w:r>
    </w:p>
    <w:p w14:paraId="5D6C9937">
      <w:pPr>
        <w:tabs>
          <w:tab w:val="left" w:pos="7665"/>
        </w:tabs>
        <w:spacing w:after="0" w:line="580" w:lineRule="exact"/>
        <w:ind w:firstLine="48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本比选文件未尽事宜，按照有关法律法规、规章、规范性文件规定执行。</w:t>
      </w:r>
    </w:p>
    <w:p w14:paraId="2A3EAA46">
      <w:pPr>
        <w:spacing w:line="400" w:lineRule="exact"/>
        <w:ind w:firstLine="480" w:firstLineChars="200"/>
        <w:jc w:val="left"/>
        <w:rPr>
          <w:rFonts w:hint="eastAsia" w:ascii="宋体" w:hAnsi="宋体" w:eastAsia="宋体" w:cs="宋体"/>
          <w:color w:val="auto"/>
          <w:kern w:val="0"/>
          <w:sz w:val="24"/>
          <w:highlight w:val="none"/>
        </w:rPr>
      </w:pPr>
    </w:p>
    <w:p w14:paraId="41170A5C">
      <w:pPr>
        <w:pStyle w:val="4"/>
        <w:spacing w:before="120" w:after="120" w:line="700" w:lineRule="exact"/>
        <w:jc w:val="center"/>
        <w:rPr>
          <w:rFonts w:hint="eastAsia" w:ascii="宋体" w:hAnsi="宋体" w:eastAsia="宋体" w:cs="宋体"/>
          <w:b w:val="0"/>
          <w:color w:val="auto"/>
          <w:highlight w:val="none"/>
        </w:rPr>
      </w:pPr>
      <w:bookmarkStart w:id="82" w:name="_Toc1368"/>
      <w:r>
        <w:rPr>
          <w:rFonts w:hint="eastAsia" w:ascii="宋体" w:hAnsi="宋体" w:eastAsia="宋体" w:cs="宋体"/>
          <w:b w:val="0"/>
          <w:color w:val="auto"/>
          <w:highlight w:val="none"/>
        </w:rPr>
        <w:br w:type="page"/>
      </w:r>
      <w:bookmarkStart w:id="83" w:name="_Toc25079259"/>
      <w:bookmarkStart w:id="84" w:name="_Toc3081"/>
      <w:r>
        <w:rPr>
          <w:rFonts w:hint="eastAsia" w:ascii="宋体" w:hAnsi="宋体" w:eastAsia="宋体" w:cs="宋体"/>
          <w:b w:val="0"/>
          <w:color w:val="auto"/>
          <w:highlight w:val="none"/>
        </w:rPr>
        <w:t>第三章</w:t>
      </w:r>
      <w:bookmarkEnd w:id="82"/>
      <w:bookmarkStart w:id="85" w:name="_Toc308164821"/>
      <w:bookmarkStart w:id="86" w:name="_Toc217446082"/>
      <w:r>
        <w:rPr>
          <w:rFonts w:hint="eastAsia" w:ascii="宋体" w:hAnsi="宋体" w:eastAsia="宋体" w:cs="宋体"/>
          <w:b w:val="0"/>
          <w:color w:val="auto"/>
          <w:highlight w:val="none"/>
        </w:rPr>
        <w:t>投标文件格式</w:t>
      </w:r>
      <w:bookmarkEnd w:id="83"/>
      <w:bookmarkEnd w:id="84"/>
    </w:p>
    <w:p w14:paraId="2BF5377A">
      <w:pPr>
        <w:widowControl/>
        <w:spacing w:line="580" w:lineRule="exact"/>
        <w:jc w:val="center"/>
        <w:outlineLvl w:val="1"/>
        <w:rPr>
          <w:rFonts w:hint="eastAsia" w:ascii="宋体" w:hAnsi="宋体" w:eastAsia="宋体" w:cs="宋体"/>
          <w:b/>
          <w:color w:val="auto"/>
          <w:sz w:val="32"/>
          <w:szCs w:val="32"/>
          <w:highlight w:val="none"/>
        </w:rPr>
      </w:pPr>
    </w:p>
    <w:p w14:paraId="795E04CE">
      <w:pPr>
        <w:widowControl/>
        <w:spacing w:line="580" w:lineRule="exact"/>
        <w:ind w:firstLine="627" w:firstLineChars="196"/>
        <w:outlineLvl w:val="1"/>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一、本章所制投标文件格式，除格式中明确将该格式作为实质性要求的，一律不具有强制性，但投标人提交的投标文件可能影响评审小组评判的，可能作无效处理。</w:t>
      </w:r>
    </w:p>
    <w:p w14:paraId="26EB4999">
      <w:pPr>
        <w:widowControl/>
        <w:spacing w:line="580" w:lineRule="exact"/>
        <w:ind w:firstLine="627" w:firstLineChars="196"/>
        <w:outlineLvl w:val="1"/>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二、本章所制投标文件格式有关表格中的备注栏，由投标人根据自身情况作解释性说明，不作为必填项。</w:t>
      </w:r>
    </w:p>
    <w:p w14:paraId="2B7348AD">
      <w:pPr>
        <w:spacing w:line="400" w:lineRule="exact"/>
        <w:ind w:firstLine="562" w:firstLineChars="200"/>
        <w:jc w:val="left"/>
        <w:rPr>
          <w:rFonts w:hint="eastAsia" w:ascii="宋体" w:hAnsi="宋体" w:eastAsia="宋体" w:cs="宋体"/>
          <w:b/>
          <w:color w:val="auto"/>
          <w:sz w:val="28"/>
          <w:szCs w:val="32"/>
          <w:highlight w:val="none"/>
        </w:rPr>
      </w:pPr>
      <w:r>
        <w:rPr>
          <w:rFonts w:hint="eastAsia" w:ascii="宋体" w:hAnsi="宋体" w:eastAsia="宋体" w:cs="宋体"/>
          <w:b/>
          <w:color w:val="auto"/>
          <w:sz w:val="28"/>
          <w:szCs w:val="32"/>
          <w:highlight w:val="none"/>
        </w:rPr>
        <w:br w:type="page"/>
      </w:r>
      <w:bookmarkEnd w:id="81"/>
      <w:bookmarkEnd w:id="85"/>
      <w:bookmarkEnd w:id="86"/>
      <w:bookmarkStart w:id="87" w:name="_Toc1588"/>
    </w:p>
    <w:p w14:paraId="6800236C">
      <w:pPr>
        <w:jc w:val="center"/>
        <w:rPr>
          <w:rFonts w:hint="eastAsia" w:ascii="宋体" w:hAnsi="宋体" w:eastAsia="宋体" w:cs="宋体"/>
          <w:b/>
          <w:bCs/>
          <w:color w:val="auto"/>
          <w:sz w:val="48"/>
          <w:szCs w:val="48"/>
          <w:highlight w:val="none"/>
        </w:rPr>
      </w:pPr>
      <w:r>
        <w:rPr>
          <w:rFonts w:hint="eastAsia" w:ascii="宋体" w:hAnsi="宋体" w:eastAsia="宋体" w:cs="宋体"/>
          <w:b/>
          <w:bCs/>
          <w:color w:val="auto"/>
          <w:sz w:val="48"/>
          <w:szCs w:val="48"/>
          <w:highlight w:val="none"/>
        </w:rPr>
        <w:t>成都汽车职业技术学校</w:t>
      </w:r>
    </w:p>
    <w:p w14:paraId="299A9B24">
      <w:pPr>
        <w:jc w:val="center"/>
        <w:rPr>
          <w:rFonts w:hint="eastAsia" w:ascii="宋体" w:hAnsi="宋体" w:eastAsia="宋体" w:cs="宋体"/>
          <w:color w:val="auto"/>
          <w:sz w:val="36"/>
          <w:szCs w:val="36"/>
          <w:highlight w:val="none"/>
        </w:rPr>
      </w:pPr>
      <w:r>
        <w:rPr>
          <w:rFonts w:hint="eastAsia" w:ascii="宋体" w:hAnsi="宋体" w:eastAsia="宋体" w:cs="宋体"/>
          <w:b/>
          <w:bCs/>
          <w:color w:val="auto"/>
          <w:sz w:val="48"/>
          <w:szCs w:val="48"/>
          <w:highlight w:val="none"/>
        </w:rPr>
        <w:t>2026年学生视力筛查服务采购项目</w:t>
      </w:r>
    </w:p>
    <w:p w14:paraId="2B3E6F93">
      <w:pPr>
        <w:jc w:val="center"/>
        <w:rPr>
          <w:rFonts w:hint="eastAsia" w:ascii="宋体" w:hAnsi="宋体" w:eastAsia="宋体" w:cs="宋体"/>
          <w:color w:val="auto"/>
          <w:sz w:val="36"/>
          <w:szCs w:val="36"/>
          <w:highlight w:val="none"/>
        </w:rPr>
      </w:pPr>
    </w:p>
    <w:p w14:paraId="154B21ED">
      <w:pPr>
        <w:jc w:val="center"/>
        <w:rPr>
          <w:rFonts w:hint="eastAsia" w:ascii="宋体" w:hAnsi="宋体" w:eastAsia="宋体" w:cs="宋体"/>
          <w:color w:val="auto"/>
          <w:sz w:val="36"/>
          <w:szCs w:val="36"/>
          <w:highlight w:val="none"/>
        </w:rPr>
      </w:pPr>
    </w:p>
    <w:p w14:paraId="7E612FD0">
      <w:pPr>
        <w:spacing w:line="360" w:lineRule="auto"/>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t>投</w:t>
      </w:r>
    </w:p>
    <w:p w14:paraId="71743549">
      <w:pPr>
        <w:spacing w:line="360" w:lineRule="auto"/>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t>标</w:t>
      </w:r>
    </w:p>
    <w:p w14:paraId="122D175A">
      <w:pPr>
        <w:spacing w:line="360" w:lineRule="auto"/>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t>报</w:t>
      </w:r>
    </w:p>
    <w:p w14:paraId="66E58579">
      <w:pPr>
        <w:spacing w:line="360" w:lineRule="auto"/>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t>价</w:t>
      </w:r>
    </w:p>
    <w:p w14:paraId="0E3E727D">
      <w:pPr>
        <w:spacing w:line="360" w:lineRule="auto"/>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t>文</w:t>
      </w:r>
    </w:p>
    <w:p w14:paraId="0CBADEBC">
      <w:pPr>
        <w:spacing w:line="360" w:lineRule="auto"/>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t>件</w:t>
      </w:r>
    </w:p>
    <w:p w14:paraId="77FF840C">
      <w:pPr>
        <w:jc w:val="center"/>
        <w:rPr>
          <w:rFonts w:hint="eastAsia" w:ascii="宋体" w:hAnsi="宋体" w:eastAsia="宋体" w:cs="宋体"/>
          <w:color w:val="auto"/>
          <w:sz w:val="84"/>
          <w:szCs w:val="84"/>
          <w:highlight w:val="none"/>
        </w:rPr>
      </w:pPr>
    </w:p>
    <w:p w14:paraId="2079B194">
      <w:pPr>
        <w:jc w:val="center"/>
        <w:rPr>
          <w:rFonts w:hint="eastAsia" w:ascii="宋体" w:hAnsi="宋体" w:eastAsia="宋体" w:cs="宋体"/>
          <w:color w:val="auto"/>
          <w:sz w:val="36"/>
          <w:szCs w:val="36"/>
          <w:highlight w:val="none"/>
        </w:rPr>
      </w:pPr>
      <w:r>
        <w:rPr>
          <w:rFonts w:hint="eastAsia" w:ascii="宋体" w:hAnsi="宋体" w:eastAsia="宋体" w:cs="宋体"/>
          <w:color w:val="auto"/>
          <w:sz w:val="32"/>
          <w:szCs w:val="32"/>
          <w:highlight w:val="none"/>
        </w:rPr>
        <w:t>投标人：（盖章）</w:t>
      </w:r>
    </w:p>
    <w:p w14:paraId="779E3FEC">
      <w:pPr>
        <w:jc w:val="center"/>
        <w:rPr>
          <w:rFonts w:hint="eastAsia" w:ascii="宋体" w:hAnsi="宋体" w:eastAsia="宋体" w:cs="宋体"/>
          <w:color w:val="auto"/>
          <w:sz w:val="36"/>
          <w:szCs w:val="36"/>
          <w:highlight w:val="none"/>
        </w:rPr>
      </w:pPr>
    </w:p>
    <w:p w14:paraId="0D0733AE">
      <w:pPr>
        <w:ind w:firstLine="1280" w:firstLineChars="400"/>
        <w:rPr>
          <w:rFonts w:hint="eastAsia" w:ascii="宋体" w:hAnsi="宋体" w:eastAsia="宋体" w:cs="宋体"/>
          <w:color w:val="auto"/>
          <w:sz w:val="36"/>
          <w:szCs w:val="36"/>
          <w:highlight w:val="none"/>
          <w:lang w:eastAsia="zh-CN"/>
        </w:rPr>
      </w:pPr>
      <w:r>
        <w:rPr>
          <w:rFonts w:hint="eastAsia" w:ascii="宋体" w:hAnsi="宋体" w:eastAsia="宋体" w:cs="宋体"/>
          <w:color w:val="auto"/>
          <w:sz w:val="32"/>
          <w:szCs w:val="32"/>
          <w:highlight w:val="none"/>
        </w:rPr>
        <w:t>日期：</w:t>
      </w:r>
    </w:p>
    <w:p w14:paraId="68563FE6">
      <w:pPr>
        <w:spacing w:line="720" w:lineRule="auto"/>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一、法定代表人授权书</w:t>
      </w:r>
    </w:p>
    <w:p w14:paraId="4FDE4268">
      <w:pPr>
        <w:spacing w:line="72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u w:val="single"/>
        </w:rPr>
        <w:t>成都汽车职业技术学校</w:t>
      </w:r>
      <w:r>
        <w:rPr>
          <w:rFonts w:hint="eastAsia" w:ascii="宋体" w:hAnsi="宋体" w:eastAsia="宋体" w:cs="宋体"/>
          <w:color w:val="auto"/>
          <w:sz w:val="28"/>
          <w:szCs w:val="28"/>
          <w:highlight w:val="none"/>
        </w:rPr>
        <w:t>：</w:t>
      </w:r>
    </w:p>
    <w:p w14:paraId="1CA6602F">
      <w:pPr>
        <w:spacing w:line="360" w:lineRule="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本授权声明：法定代表人授权我方为我方代理人。代理人根据授权，以我方名义参加</w:t>
      </w:r>
      <w:r>
        <w:rPr>
          <w:rFonts w:hint="eastAsia" w:ascii="宋体" w:hAnsi="宋体" w:cs="宋体"/>
          <w:color w:val="auto"/>
          <w:sz w:val="30"/>
          <w:szCs w:val="30"/>
          <w:highlight w:val="none"/>
          <w:u w:val="single"/>
          <w:lang w:eastAsia="zh-CN"/>
        </w:rPr>
        <w:t>成都汽车职业技术学校2026年学生视力筛查服务采购项目</w:t>
      </w:r>
      <w:r>
        <w:rPr>
          <w:rFonts w:hint="eastAsia" w:ascii="宋体" w:hAnsi="宋体" w:eastAsia="宋体" w:cs="宋体"/>
          <w:color w:val="auto"/>
          <w:sz w:val="30"/>
          <w:szCs w:val="30"/>
          <w:highlight w:val="none"/>
        </w:rPr>
        <w:t>投标报价事宜。</w:t>
      </w:r>
    </w:p>
    <w:p w14:paraId="35C49ABB">
      <w:pPr>
        <w:spacing w:line="720" w:lineRule="auto"/>
        <w:rPr>
          <w:rFonts w:hint="eastAsia" w:ascii="宋体" w:hAnsi="宋体" w:eastAsia="宋体" w:cs="宋体"/>
          <w:color w:val="auto"/>
          <w:sz w:val="30"/>
          <w:szCs w:val="30"/>
          <w:highlight w:val="none"/>
        </w:rPr>
      </w:pPr>
    </w:p>
    <w:p w14:paraId="5270BF7D">
      <w:pPr>
        <w:spacing w:line="720" w:lineRule="auto"/>
        <w:rPr>
          <w:rFonts w:hint="eastAsia" w:ascii="宋体" w:hAnsi="宋体" w:eastAsia="宋体" w:cs="宋体"/>
          <w:color w:val="auto"/>
          <w:sz w:val="30"/>
          <w:szCs w:val="30"/>
          <w:highlight w:val="none"/>
        </w:rPr>
      </w:pPr>
    </w:p>
    <w:p w14:paraId="4A6F0A28">
      <w:pPr>
        <w:spacing w:line="720" w:lineRule="auto"/>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rPr>
        <w:t>法定代表人（签字或盖章）：</w:t>
      </w:r>
    </w:p>
    <w:p w14:paraId="20E58204">
      <w:pPr>
        <w:spacing w:line="720" w:lineRule="auto"/>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rPr>
        <w:t>授权代表（签字或盖章）：</w:t>
      </w:r>
    </w:p>
    <w:p w14:paraId="1FB992FF">
      <w:pPr>
        <w:spacing w:line="72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投标人名称：（盖章）</w:t>
      </w:r>
    </w:p>
    <w:p w14:paraId="2D48F550">
      <w:pPr>
        <w:spacing w:line="720" w:lineRule="auto"/>
        <w:rPr>
          <w:rFonts w:hint="eastAsia" w:ascii="宋体" w:hAnsi="宋体" w:eastAsia="宋体" w:cs="宋体"/>
          <w:color w:val="auto"/>
          <w:sz w:val="32"/>
          <w:szCs w:val="32"/>
          <w:highlight w:val="none"/>
          <w:u w:val="single"/>
          <w:lang w:eastAsia="zh-CN"/>
        </w:rPr>
      </w:pPr>
      <w:r>
        <w:rPr>
          <w:rFonts w:hint="eastAsia" w:ascii="宋体" w:hAnsi="宋体" w:eastAsia="宋体" w:cs="宋体"/>
          <w:color w:val="auto"/>
          <w:sz w:val="32"/>
          <w:szCs w:val="32"/>
          <w:highlight w:val="none"/>
        </w:rPr>
        <w:t>日期：</w:t>
      </w:r>
    </w:p>
    <w:p w14:paraId="62F7CC23">
      <w:pPr>
        <w:spacing w:line="720" w:lineRule="auto"/>
        <w:jc w:val="center"/>
        <w:rPr>
          <w:rFonts w:hint="eastAsia" w:ascii="宋体" w:hAnsi="宋体" w:eastAsia="宋体" w:cs="宋体"/>
          <w:color w:val="auto"/>
          <w:sz w:val="36"/>
          <w:szCs w:val="36"/>
          <w:highlight w:val="none"/>
        </w:rPr>
      </w:pPr>
    </w:p>
    <w:p w14:paraId="575F3EE5">
      <w:pPr>
        <w:spacing w:line="720" w:lineRule="auto"/>
        <w:jc w:val="center"/>
        <w:rPr>
          <w:rFonts w:hint="eastAsia" w:ascii="宋体" w:hAnsi="宋体" w:eastAsia="宋体" w:cs="宋体"/>
          <w:color w:val="auto"/>
          <w:sz w:val="36"/>
          <w:szCs w:val="36"/>
          <w:highlight w:val="none"/>
        </w:rPr>
      </w:pPr>
    </w:p>
    <w:p w14:paraId="7BFCAB68">
      <w:pPr>
        <w:spacing w:line="720" w:lineRule="auto"/>
        <w:jc w:val="center"/>
        <w:rPr>
          <w:rFonts w:hint="eastAsia" w:ascii="宋体" w:hAnsi="宋体" w:eastAsia="宋体" w:cs="宋体"/>
          <w:color w:val="auto"/>
          <w:sz w:val="36"/>
          <w:szCs w:val="36"/>
          <w:highlight w:val="none"/>
        </w:rPr>
      </w:pPr>
    </w:p>
    <w:p w14:paraId="2748BB48">
      <w:pPr>
        <w:ind w:right="112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附件一：报价函密封袋封面样式</w:t>
      </w:r>
    </w:p>
    <w:p w14:paraId="2C456E6F">
      <w:pPr>
        <w:ind w:firstLine="560" w:firstLineChars="200"/>
        <w:jc w:val="left"/>
        <w:rPr>
          <w:rFonts w:hint="eastAsia" w:ascii="宋体" w:hAnsi="宋体" w:eastAsia="宋体" w:cs="宋体"/>
          <w:color w:val="auto"/>
          <w:sz w:val="28"/>
          <w:szCs w:val="30"/>
          <w:highlight w:val="none"/>
        </w:rPr>
      </w:pPr>
    </w:p>
    <w:p w14:paraId="7EAA516B">
      <w:pPr>
        <w:spacing w:line="700" w:lineRule="exact"/>
        <w:jc w:val="center"/>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u w:val="single"/>
        </w:rPr>
        <w:t>（填写采购项目名称、编号）</w:t>
      </w:r>
    </w:p>
    <w:p w14:paraId="67025F71">
      <w:pPr>
        <w:jc w:val="center"/>
        <w:rPr>
          <w:rFonts w:hint="eastAsia" w:ascii="宋体" w:hAnsi="宋体" w:eastAsia="宋体" w:cs="宋体"/>
          <w:bCs/>
          <w:color w:val="auto"/>
          <w:sz w:val="44"/>
          <w:szCs w:val="44"/>
          <w:highlight w:val="none"/>
        </w:rPr>
      </w:pPr>
    </w:p>
    <w:p w14:paraId="61146FB4">
      <w:pPr>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报价单</w:t>
      </w:r>
    </w:p>
    <w:p w14:paraId="680E3DAE">
      <w:pPr>
        <w:ind w:firstLine="560" w:firstLineChars="200"/>
        <w:rPr>
          <w:rFonts w:hint="eastAsia" w:ascii="宋体" w:hAnsi="宋体" w:eastAsia="宋体" w:cs="宋体"/>
          <w:color w:val="auto"/>
          <w:sz w:val="28"/>
          <w:szCs w:val="30"/>
          <w:highlight w:val="none"/>
        </w:rPr>
      </w:pPr>
    </w:p>
    <w:p w14:paraId="05612EA1">
      <w:pPr>
        <w:ind w:firstLine="560" w:firstLineChars="200"/>
        <w:rPr>
          <w:rFonts w:hint="eastAsia" w:ascii="宋体" w:hAnsi="宋体" w:eastAsia="宋体" w:cs="宋体"/>
          <w:color w:val="auto"/>
          <w:sz w:val="28"/>
          <w:szCs w:val="30"/>
          <w:highlight w:val="none"/>
        </w:rPr>
      </w:pPr>
    </w:p>
    <w:p w14:paraId="7C4697F9">
      <w:pPr>
        <w:ind w:firstLine="560" w:firstLineChars="200"/>
        <w:rPr>
          <w:rFonts w:hint="eastAsia" w:ascii="宋体" w:hAnsi="宋体" w:eastAsia="宋体" w:cs="宋体"/>
          <w:color w:val="auto"/>
          <w:sz w:val="28"/>
          <w:szCs w:val="30"/>
          <w:highlight w:val="none"/>
        </w:rPr>
      </w:pPr>
    </w:p>
    <w:p w14:paraId="3B412238">
      <w:pPr>
        <w:ind w:firstLine="560" w:firstLineChars="200"/>
        <w:rPr>
          <w:rFonts w:hint="eastAsia" w:ascii="宋体" w:hAnsi="宋体" w:eastAsia="宋体" w:cs="宋体"/>
          <w:color w:val="auto"/>
          <w:sz w:val="28"/>
          <w:szCs w:val="30"/>
          <w:highlight w:val="none"/>
        </w:rPr>
      </w:pPr>
    </w:p>
    <w:tbl>
      <w:tblPr>
        <w:tblStyle w:val="31"/>
        <w:tblW w:w="0" w:type="auto"/>
        <w:jc w:val="center"/>
        <w:tblLayout w:type="autofit"/>
        <w:tblCellMar>
          <w:top w:w="0" w:type="dxa"/>
          <w:left w:w="108" w:type="dxa"/>
          <w:bottom w:w="0" w:type="dxa"/>
          <w:right w:w="108" w:type="dxa"/>
        </w:tblCellMar>
      </w:tblPr>
      <w:tblGrid>
        <w:gridCol w:w="2316"/>
        <w:gridCol w:w="5310"/>
      </w:tblGrid>
      <w:tr w14:paraId="1F910E3F">
        <w:tblPrEx>
          <w:tblCellMar>
            <w:top w:w="0" w:type="dxa"/>
            <w:left w:w="108" w:type="dxa"/>
            <w:bottom w:w="0" w:type="dxa"/>
            <w:right w:w="108" w:type="dxa"/>
          </w:tblCellMar>
        </w:tblPrEx>
        <w:trPr>
          <w:jc w:val="center"/>
        </w:trPr>
        <w:tc>
          <w:tcPr>
            <w:tcW w:w="2316" w:type="dxa"/>
            <w:vAlign w:val="center"/>
          </w:tcPr>
          <w:p w14:paraId="4CCA9470">
            <w:pPr>
              <w:jc w:val="distribute"/>
              <w:rPr>
                <w:rFonts w:hint="eastAsia" w:ascii="宋体" w:hAnsi="宋体" w:eastAsia="宋体" w:cs="宋体"/>
                <w:color w:val="auto"/>
                <w:sz w:val="28"/>
                <w:szCs w:val="30"/>
                <w:highlight w:val="none"/>
              </w:rPr>
            </w:pPr>
            <w:r>
              <w:rPr>
                <w:rFonts w:hint="eastAsia" w:ascii="宋体" w:hAnsi="宋体" w:eastAsia="宋体" w:cs="宋体"/>
                <w:color w:val="auto"/>
                <w:sz w:val="32"/>
                <w:szCs w:val="32"/>
                <w:highlight w:val="none"/>
              </w:rPr>
              <w:t>投标单位名称</w:t>
            </w:r>
          </w:p>
        </w:tc>
        <w:tc>
          <w:tcPr>
            <w:tcW w:w="5310" w:type="dxa"/>
            <w:vAlign w:val="center"/>
          </w:tcPr>
          <w:p w14:paraId="12AD5B37">
            <w:pPr>
              <w:jc w:val="left"/>
              <w:rPr>
                <w:rFonts w:hint="eastAsia" w:ascii="宋体" w:hAnsi="宋体" w:eastAsia="宋体" w:cs="宋体"/>
                <w:color w:val="auto"/>
                <w:sz w:val="28"/>
                <w:szCs w:val="30"/>
                <w:highlight w:val="none"/>
              </w:rPr>
            </w:pPr>
          </w:p>
        </w:tc>
      </w:tr>
      <w:tr w14:paraId="77A64B31">
        <w:tblPrEx>
          <w:tblCellMar>
            <w:top w:w="0" w:type="dxa"/>
            <w:left w:w="108" w:type="dxa"/>
            <w:bottom w:w="0" w:type="dxa"/>
            <w:right w:w="108" w:type="dxa"/>
          </w:tblCellMar>
        </w:tblPrEx>
        <w:trPr>
          <w:jc w:val="center"/>
        </w:trPr>
        <w:tc>
          <w:tcPr>
            <w:tcW w:w="2316" w:type="dxa"/>
            <w:vAlign w:val="center"/>
          </w:tcPr>
          <w:p w14:paraId="1ADC4262">
            <w:pPr>
              <w:jc w:val="distribute"/>
              <w:rPr>
                <w:rFonts w:hint="eastAsia" w:ascii="宋体" w:hAnsi="宋体" w:eastAsia="宋体" w:cs="宋体"/>
                <w:color w:val="auto"/>
                <w:sz w:val="28"/>
                <w:szCs w:val="30"/>
                <w:highlight w:val="none"/>
              </w:rPr>
            </w:pPr>
            <w:r>
              <w:rPr>
                <w:rFonts w:hint="eastAsia" w:ascii="宋体" w:hAnsi="宋体" w:eastAsia="宋体" w:cs="宋体"/>
                <w:color w:val="auto"/>
                <w:sz w:val="32"/>
                <w:szCs w:val="32"/>
                <w:highlight w:val="none"/>
              </w:rPr>
              <w:t>地址</w:t>
            </w:r>
          </w:p>
        </w:tc>
        <w:tc>
          <w:tcPr>
            <w:tcW w:w="5310" w:type="dxa"/>
            <w:vAlign w:val="center"/>
          </w:tcPr>
          <w:p w14:paraId="0EEB659F">
            <w:pPr>
              <w:jc w:val="left"/>
              <w:rPr>
                <w:rFonts w:hint="eastAsia" w:ascii="宋体" w:hAnsi="宋体" w:eastAsia="宋体" w:cs="宋体"/>
                <w:color w:val="auto"/>
                <w:sz w:val="28"/>
                <w:szCs w:val="30"/>
                <w:highlight w:val="none"/>
              </w:rPr>
            </w:pPr>
          </w:p>
        </w:tc>
      </w:tr>
      <w:tr w14:paraId="01111FF7">
        <w:tblPrEx>
          <w:tblCellMar>
            <w:top w:w="0" w:type="dxa"/>
            <w:left w:w="108" w:type="dxa"/>
            <w:bottom w:w="0" w:type="dxa"/>
            <w:right w:w="108" w:type="dxa"/>
          </w:tblCellMar>
        </w:tblPrEx>
        <w:trPr>
          <w:jc w:val="center"/>
        </w:trPr>
        <w:tc>
          <w:tcPr>
            <w:tcW w:w="2316" w:type="dxa"/>
            <w:vAlign w:val="center"/>
          </w:tcPr>
          <w:p w14:paraId="419F8D1D">
            <w:pPr>
              <w:jc w:val="distribute"/>
              <w:rPr>
                <w:rFonts w:hint="eastAsia" w:ascii="宋体" w:hAnsi="宋体" w:eastAsia="宋体" w:cs="宋体"/>
                <w:color w:val="auto"/>
                <w:sz w:val="28"/>
                <w:szCs w:val="30"/>
                <w:highlight w:val="none"/>
              </w:rPr>
            </w:pPr>
            <w:r>
              <w:rPr>
                <w:rFonts w:hint="eastAsia" w:ascii="宋体" w:hAnsi="宋体" w:eastAsia="宋体" w:cs="宋体"/>
                <w:color w:val="auto"/>
                <w:sz w:val="32"/>
                <w:szCs w:val="32"/>
                <w:highlight w:val="none"/>
              </w:rPr>
              <w:t>联系电话</w:t>
            </w:r>
          </w:p>
        </w:tc>
        <w:tc>
          <w:tcPr>
            <w:tcW w:w="5310" w:type="dxa"/>
            <w:vAlign w:val="center"/>
          </w:tcPr>
          <w:p w14:paraId="20F5642F">
            <w:pPr>
              <w:jc w:val="left"/>
              <w:rPr>
                <w:rFonts w:hint="eastAsia" w:ascii="宋体" w:hAnsi="宋体" w:eastAsia="宋体" w:cs="宋体"/>
                <w:color w:val="auto"/>
                <w:sz w:val="28"/>
                <w:szCs w:val="30"/>
                <w:highlight w:val="none"/>
              </w:rPr>
            </w:pPr>
          </w:p>
        </w:tc>
      </w:tr>
      <w:tr w14:paraId="6693E026">
        <w:tblPrEx>
          <w:tblCellMar>
            <w:top w:w="0" w:type="dxa"/>
            <w:left w:w="108" w:type="dxa"/>
            <w:bottom w:w="0" w:type="dxa"/>
            <w:right w:w="108" w:type="dxa"/>
          </w:tblCellMar>
        </w:tblPrEx>
        <w:trPr>
          <w:trHeight w:val="858" w:hRule="atLeast"/>
          <w:jc w:val="center"/>
        </w:trPr>
        <w:tc>
          <w:tcPr>
            <w:tcW w:w="2316" w:type="dxa"/>
            <w:vAlign w:val="center"/>
          </w:tcPr>
          <w:p w14:paraId="090405C0">
            <w:pPr>
              <w:jc w:val="distribute"/>
              <w:rPr>
                <w:rFonts w:hint="eastAsia" w:ascii="宋体" w:hAnsi="宋体" w:eastAsia="宋体" w:cs="宋体"/>
                <w:color w:val="auto"/>
                <w:sz w:val="28"/>
                <w:szCs w:val="30"/>
                <w:highlight w:val="none"/>
              </w:rPr>
            </w:pPr>
            <w:r>
              <w:rPr>
                <w:rFonts w:hint="eastAsia" w:ascii="宋体" w:hAnsi="宋体" w:eastAsia="宋体" w:cs="宋体"/>
                <w:color w:val="auto"/>
                <w:sz w:val="32"/>
                <w:szCs w:val="32"/>
                <w:highlight w:val="none"/>
              </w:rPr>
              <w:t>报价日期</w:t>
            </w:r>
          </w:p>
        </w:tc>
        <w:tc>
          <w:tcPr>
            <w:tcW w:w="5310" w:type="dxa"/>
            <w:vAlign w:val="center"/>
          </w:tcPr>
          <w:p w14:paraId="7A5D4102">
            <w:pPr>
              <w:jc w:val="left"/>
              <w:rPr>
                <w:rFonts w:hint="eastAsia" w:ascii="宋体" w:hAnsi="宋体" w:eastAsia="宋体" w:cs="宋体"/>
                <w:color w:val="auto"/>
                <w:sz w:val="28"/>
                <w:szCs w:val="30"/>
                <w:highlight w:val="none"/>
              </w:rPr>
            </w:pPr>
          </w:p>
        </w:tc>
      </w:tr>
    </w:tbl>
    <w:p w14:paraId="520B021F">
      <w:pPr>
        <w:widowControl/>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28"/>
          <w:highlight w:val="none"/>
        </w:rPr>
        <w:br w:type="page"/>
      </w:r>
      <w:r>
        <w:rPr>
          <w:rFonts w:hint="eastAsia" w:ascii="宋体" w:hAnsi="宋体" w:eastAsia="宋体" w:cs="宋体"/>
          <w:color w:val="auto"/>
          <w:kern w:val="0"/>
          <w:sz w:val="32"/>
          <w:szCs w:val="32"/>
          <w:highlight w:val="none"/>
        </w:rPr>
        <w:t>附件二：报价函样式</w:t>
      </w:r>
    </w:p>
    <w:p w14:paraId="0B5D43D2">
      <w:pPr>
        <w:widowControl/>
        <w:jc w:val="center"/>
        <w:rPr>
          <w:rFonts w:hint="eastAsia" w:ascii="宋体" w:hAnsi="宋体" w:eastAsia="宋体" w:cs="宋体"/>
          <w:bCs/>
          <w:color w:val="auto"/>
          <w:kern w:val="0"/>
          <w:sz w:val="44"/>
          <w:szCs w:val="44"/>
          <w:highlight w:val="none"/>
        </w:rPr>
      </w:pPr>
      <w:r>
        <w:rPr>
          <w:rFonts w:hint="eastAsia" w:ascii="宋体" w:hAnsi="宋体" w:eastAsia="宋体" w:cs="宋体"/>
          <w:bCs/>
          <w:color w:val="auto"/>
          <w:kern w:val="0"/>
          <w:sz w:val="44"/>
          <w:szCs w:val="44"/>
          <w:highlight w:val="none"/>
        </w:rPr>
        <w:t>报价函</w:t>
      </w:r>
    </w:p>
    <w:p w14:paraId="13FF79A0">
      <w:pPr>
        <w:ind w:right="26"/>
        <w:rPr>
          <w:rFonts w:hint="eastAsia" w:ascii="宋体" w:hAnsi="宋体" w:eastAsia="宋体" w:cs="宋体"/>
          <w:b/>
          <w:color w:val="auto"/>
          <w:sz w:val="32"/>
          <w:szCs w:val="32"/>
          <w:highlight w:val="none"/>
        </w:rPr>
      </w:pPr>
      <w:r>
        <w:rPr>
          <w:rFonts w:hint="eastAsia" w:ascii="宋体" w:hAnsi="宋体" w:eastAsia="宋体" w:cs="宋体"/>
          <w:color w:val="auto"/>
          <w:sz w:val="32"/>
          <w:szCs w:val="32"/>
          <w:highlight w:val="none"/>
        </w:rPr>
        <w:t>采购项目编号：</w:t>
      </w:r>
    </w:p>
    <w:p w14:paraId="4AE9BAA7">
      <w:pP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致：</w:t>
      </w:r>
      <w:r>
        <w:rPr>
          <w:rFonts w:hint="eastAsia" w:ascii="宋体" w:hAnsi="宋体" w:eastAsia="宋体" w:cs="宋体"/>
          <w:b/>
          <w:bCs/>
          <w:color w:val="auto"/>
          <w:sz w:val="32"/>
          <w:szCs w:val="32"/>
          <w:highlight w:val="none"/>
        </w:rPr>
        <w:t>XXX</w:t>
      </w:r>
    </w:p>
    <w:p w14:paraId="03AA761C">
      <w:pPr>
        <w:ind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我公司已认真阅读了贵方发布的</w:t>
      </w:r>
      <w:r>
        <w:rPr>
          <w:rFonts w:hint="eastAsia" w:ascii="宋体" w:hAnsi="宋体" w:eastAsia="宋体" w:cs="宋体"/>
          <w:color w:val="auto"/>
          <w:sz w:val="32"/>
          <w:szCs w:val="32"/>
          <w:highlight w:val="none"/>
          <w:u w:val="single"/>
        </w:rPr>
        <w:t>（项目</w:t>
      </w:r>
      <w:r>
        <w:rPr>
          <w:rFonts w:hint="eastAsia" w:ascii="宋体" w:hAnsi="宋体" w:cs="宋体"/>
          <w:color w:val="auto"/>
          <w:sz w:val="32"/>
          <w:szCs w:val="32"/>
          <w:highlight w:val="none"/>
          <w:u w:val="single"/>
          <w:lang w:eastAsia="zh-CN"/>
        </w:rPr>
        <w:t>名称：</w:t>
      </w:r>
      <w:r>
        <w:rPr>
          <w:rFonts w:hint="eastAsia" w:ascii="宋体" w:hAnsi="宋体" w:cs="宋体"/>
          <w:color w:val="auto"/>
          <w:sz w:val="32"/>
          <w:szCs w:val="32"/>
          <w:highlight w:val="none"/>
          <w:u w:val="single"/>
          <w:lang w:val="en-US" w:eastAsia="zh-CN"/>
        </w:rPr>
        <w:t>项目编号：</w:t>
      </w:r>
      <w:r>
        <w:rPr>
          <w:rFonts w:hint="eastAsia" w:ascii="宋体" w:hAnsi="宋体" w:eastAsia="宋体" w:cs="宋体"/>
          <w:color w:val="auto"/>
          <w:sz w:val="32"/>
          <w:szCs w:val="32"/>
          <w:highlight w:val="none"/>
          <w:u w:val="single"/>
        </w:rPr>
        <w:t>）</w:t>
      </w:r>
      <w:r>
        <w:rPr>
          <w:rFonts w:hint="eastAsia" w:ascii="宋体" w:hAnsi="宋体" w:eastAsia="宋体" w:cs="宋体"/>
          <w:color w:val="auto"/>
          <w:sz w:val="32"/>
          <w:szCs w:val="32"/>
          <w:highlight w:val="none"/>
        </w:rPr>
        <w:t>采购公示，接受贵方提出的各项要求，参与该项目报价。</w:t>
      </w:r>
    </w:p>
    <w:p w14:paraId="3D81B0B1">
      <w:pPr>
        <w:numPr>
          <w:ilvl w:val="0"/>
          <w:numId w:val="9"/>
        </w:numPr>
        <w:ind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报价表：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6511"/>
      </w:tblGrid>
      <w:tr w14:paraId="668F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0" w:type="dxa"/>
            <w:vAlign w:val="center"/>
          </w:tcPr>
          <w:p w14:paraId="09D464BF">
            <w:pPr>
              <w:pStyle w:val="27"/>
              <w:keepNext w:val="0"/>
              <w:keepLines w:val="0"/>
              <w:widowControl w:val="0"/>
              <w:suppressLineNumbers w:val="0"/>
              <w:spacing w:before="0" w:beforeAutospacing="0" w:after="160" w:afterAutospacing="0" w:line="256" w:lineRule="auto"/>
              <w:jc w:val="center"/>
              <w:rPr>
                <w:rFonts w:hint="default" w:eastAsiaTheme="minor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项目名称</w:t>
            </w:r>
          </w:p>
        </w:tc>
        <w:tc>
          <w:tcPr>
            <w:tcW w:w="6511" w:type="dxa"/>
            <w:vAlign w:val="center"/>
          </w:tcPr>
          <w:p w14:paraId="6F394558">
            <w:pPr>
              <w:pStyle w:val="27"/>
              <w:keepNext w:val="0"/>
              <w:keepLines w:val="0"/>
              <w:widowControl w:val="0"/>
              <w:suppressLineNumbers w:val="0"/>
              <w:spacing w:before="0" w:beforeAutospacing="0" w:after="160" w:afterAutospacing="0" w:line="256" w:lineRule="auto"/>
              <w:jc w:val="center"/>
              <w:rPr>
                <w:color w:val="auto"/>
                <w:highlight w:val="none"/>
                <w:vertAlign w:val="baseline"/>
              </w:rPr>
            </w:pPr>
          </w:p>
        </w:tc>
      </w:tr>
      <w:tr w14:paraId="5352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0" w:type="dxa"/>
            <w:vAlign w:val="center"/>
          </w:tcPr>
          <w:p w14:paraId="3EF2B0A1">
            <w:pPr>
              <w:pStyle w:val="27"/>
              <w:keepNext w:val="0"/>
              <w:keepLines w:val="0"/>
              <w:widowControl w:val="0"/>
              <w:suppressLineNumbers w:val="0"/>
              <w:spacing w:before="0" w:beforeAutospacing="0" w:after="160" w:afterAutospacing="0" w:line="256" w:lineRule="auto"/>
              <w:jc w:val="center"/>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项目报价</w:t>
            </w:r>
          </w:p>
          <w:p w14:paraId="55045CA7">
            <w:pPr>
              <w:pStyle w:val="27"/>
              <w:keepNext w:val="0"/>
              <w:keepLines w:val="0"/>
              <w:widowControl w:val="0"/>
              <w:suppressLineNumbers w:val="0"/>
              <w:spacing w:before="0" w:beforeAutospacing="0" w:after="160" w:afterAutospacing="0" w:line="256" w:lineRule="auto"/>
              <w:jc w:val="center"/>
              <w:rPr>
                <w:rFonts w:hint="default" w:eastAsiaTheme="minor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（X元/生/年）</w:t>
            </w:r>
          </w:p>
        </w:tc>
        <w:tc>
          <w:tcPr>
            <w:tcW w:w="6511" w:type="dxa"/>
            <w:vAlign w:val="center"/>
          </w:tcPr>
          <w:p w14:paraId="6A0F4589">
            <w:pPr>
              <w:pStyle w:val="27"/>
              <w:keepNext w:val="0"/>
              <w:keepLines w:val="0"/>
              <w:widowControl w:val="0"/>
              <w:suppressLineNumbers w:val="0"/>
              <w:spacing w:before="0" w:beforeAutospacing="0" w:after="160" w:afterAutospacing="0" w:line="256" w:lineRule="auto"/>
              <w:jc w:val="center"/>
              <w:rPr>
                <w:color w:val="auto"/>
                <w:highlight w:val="none"/>
                <w:vertAlign w:val="baseline"/>
              </w:rPr>
            </w:pPr>
          </w:p>
        </w:tc>
      </w:tr>
    </w:tbl>
    <w:p w14:paraId="3725BCA1">
      <w:pPr>
        <w:widowControl/>
        <w:jc w:val="left"/>
        <w:rPr>
          <w:rFonts w:hint="eastAsia" w:ascii="宋体" w:hAnsi="宋体" w:cs="宋体"/>
          <w:color w:val="auto"/>
          <w:kern w:val="0"/>
          <w:sz w:val="24"/>
          <w:highlight w:val="none"/>
          <w:lang w:bidi="ar"/>
        </w:rPr>
      </w:pPr>
    </w:p>
    <w:p w14:paraId="2CDB1949">
      <w:pPr>
        <w:widowControl/>
        <w:jc w:val="left"/>
        <w:rPr>
          <w:rFonts w:hint="eastAsia" w:ascii="宋体" w:hAnsi="宋体" w:eastAsia="宋体" w:cs="宋体"/>
          <w:color w:val="auto"/>
          <w:highlight w:val="none"/>
          <w:lang w:eastAsia="zh-CN"/>
        </w:rPr>
      </w:pPr>
      <w:r>
        <w:rPr>
          <w:rFonts w:hint="eastAsia" w:ascii="宋体" w:hAnsi="宋体" w:cs="宋体"/>
          <w:color w:val="auto"/>
          <w:kern w:val="0"/>
          <w:sz w:val="24"/>
          <w:highlight w:val="none"/>
          <w:lang w:bidi="ar"/>
        </w:rPr>
        <w:t>注：</w:t>
      </w:r>
    </w:p>
    <w:p w14:paraId="6C65D8C3">
      <w:pPr>
        <w:widowControl/>
        <w:jc w:val="left"/>
        <w:rPr>
          <w:rFonts w:hint="eastAsia" w:ascii="宋体" w:hAnsi="宋体" w:eastAsia="宋体" w:cs="宋体"/>
          <w:color w:val="auto"/>
          <w:highlight w:val="none"/>
          <w:lang w:eastAsia="zh-CN"/>
        </w:rPr>
      </w:pPr>
      <w:r>
        <w:rPr>
          <w:rFonts w:hint="eastAsia" w:ascii="宋体" w:hAnsi="宋体" w:cs="宋体"/>
          <w:color w:val="auto"/>
          <w:kern w:val="0"/>
          <w:sz w:val="24"/>
          <w:highlight w:val="none"/>
          <w:lang w:bidi="ar"/>
        </w:rPr>
        <w:t>1.所有报价均用人民币表示，所报价格是交货地的验收价格，是供应商响应采购</w:t>
      </w:r>
    </w:p>
    <w:p w14:paraId="1A39A97A">
      <w:pPr>
        <w:widowControl/>
        <w:jc w:val="left"/>
        <w:rPr>
          <w:rFonts w:hint="eastAsia" w:ascii="宋体" w:hAnsi="宋体" w:eastAsia="宋体" w:cs="宋体"/>
          <w:color w:val="auto"/>
          <w:sz w:val="32"/>
          <w:szCs w:val="32"/>
          <w:highlight w:val="none"/>
        </w:rPr>
      </w:pPr>
      <w:r>
        <w:rPr>
          <w:rFonts w:hint="eastAsia" w:ascii="宋体" w:hAnsi="宋体" w:cs="宋体"/>
          <w:color w:val="auto"/>
          <w:kern w:val="0"/>
          <w:sz w:val="24"/>
          <w:highlight w:val="none"/>
          <w:lang w:bidi="ar"/>
        </w:rPr>
        <w:t>项目要求的全部工作内容的价格体现。</w:t>
      </w:r>
    </w:p>
    <w:p w14:paraId="57ACEDD0">
      <w:pPr>
        <w:rPr>
          <w:rFonts w:hint="default" w:ascii="宋体" w:hAnsi="宋体" w:eastAsia="宋体" w:cs="宋体"/>
          <w:color w:val="auto"/>
          <w:sz w:val="32"/>
          <w:szCs w:val="32"/>
          <w:highlight w:val="none"/>
          <w:lang w:val="en-US" w:eastAsia="zh-CN"/>
        </w:rPr>
      </w:pPr>
      <w:r>
        <w:rPr>
          <w:rFonts w:hint="eastAsia" w:ascii="宋体" w:hAnsi="宋体" w:cs="宋体"/>
          <w:color w:val="auto"/>
          <w:kern w:val="0"/>
          <w:sz w:val="24"/>
          <w:highlight w:val="none"/>
          <w:lang w:val="en-US" w:eastAsia="zh-CN" w:bidi="ar"/>
        </w:rPr>
        <w:t>2</w:t>
      </w:r>
      <w:r>
        <w:rPr>
          <w:rFonts w:hint="eastAsia" w:ascii="宋体" w:hAnsi="宋体" w:cs="宋体"/>
          <w:color w:val="auto"/>
          <w:kern w:val="0"/>
          <w:sz w:val="24"/>
          <w:highlight w:val="none"/>
          <w:lang w:bidi="ar"/>
        </w:rPr>
        <w:t>.</w:t>
      </w:r>
      <w:r>
        <w:rPr>
          <w:rFonts w:hint="eastAsia" w:ascii="宋体" w:hAnsi="宋体" w:cs="宋体"/>
          <w:color w:val="auto"/>
          <w:kern w:val="0"/>
          <w:sz w:val="24"/>
          <w:highlight w:val="none"/>
          <w:lang w:val="en-US" w:eastAsia="zh-CN" w:bidi="ar"/>
        </w:rPr>
        <w:t>报价涵盖春季、秋季共2次视力筛查服务费用。</w:t>
      </w:r>
    </w:p>
    <w:p w14:paraId="132B1914">
      <w:pPr>
        <w:rPr>
          <w:rFonts w:hint="eastAsia" w:ascii="宋体" w:hAnsi="宋体" w:eastAsia="宋体" w:cs="宋体"/>
          <w:color w:val="auto"/>
          <w:sz w:val="32"/>
          <w:szCs w:val="32"/>
          <w:highlight w:val="none"/>
        </w:rPr>
      </w:pPr>
    </w:p>
    <w:p w14:paraId="202C3961">
      <w:pPr>
        <w:ind w:firstLine="640" w:firstLineChars="200"/>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rPr>
        <w:t>二、技术支持与服务承诺</w:t>
      </w:r>
    </w:p>
    <w:p w14:paraId="5BA1F888">
      <w:pPr>
        <w:ind w:firstLine="640" w:firstLineChars="200"/>
        <w:rPr>
          <w:rFonts w:hint="eastAsia" w:ascii="宋体" w:hAnsi="宋体" w:eastAsia="宋体" w:cs="宋体"/>
          <w:color w:val="auto"/>
          <w:sz w:val="32"/>
          <w:szCs w:val="32"/>
          <w:highlight w:val="none"/>
        </w:rPr>
      </w:pPr>
    </w:p>
    <w:p w14:paraId="6FC85F62">
      <w:pPr>
        <w:ind w:firstLine="640" w:firstLineChars="200"/>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rPr>
        <w:t>三、有关资质证明材料</w:t>
      </w:r>
    </w:p>
    <w:p w14:paraId="7500149B">
      <w:pPr>
        <w:ind w:firstLine="640" w:firstLineChars="200"/>
        <w:rPr>
          <w:rFonts w:hint="eastAsia" w:ascii="宋体" w:hAnsi="宋体" w:eastAsia="宋体" w:cs="宋体"/>
          <w:color w:val="auto"/>
          <w:sz w:val="32"/>
          <w:szCs w:val="32"/>
          <w:highlight w:val="none"/>
        </w:rPr>
      </w:pPr>
    </w:p>
    <w:p w14:paraId="1F236EA1">
      <w:pPr>
        <w:ind w:firstLine="640" w:firstLineChars="200"/>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rPr>
        <w:t>四、联系方式  </w:t>
      </w:r>
    </w:p>
    <w:p w14:paraId="2D57D4C1">
      <w:pPr>
        <w:ind w:firstLine="640" w:firstLineChars="200"/>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rPr>
        <w:t>联系人：  固定电话：    </w:t>
      </w:r>
    </w:p>
    <w:p w14:paraId="1D89C7C8">
      <w:pPr>
        <w:ind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手机号码：</w:t>
      </w:r>
    </w:p>
    <w:p w14:paraId="49C20B10">
      <w:pPr>
        <w:ind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地　　址：</w:t>
      </w:r>
    </w:p>
    <w:p w14:paraId="342F42A0">
      <w:pPr>
        <w:ind w:firstLine="640" w:firstLineChars="200"/>
        <w:jc w:val="right"/>
        <w:rPr>
          <w:rFonts w:hint="eastAsia" w:ascii="宋体" w:hAnsi="宋体" w:eastAsia="宋体" w:cs="宋体"/>
          <w:color w:val="auto"/>
          <w:sz w:val="32"/>
          <w:szCs w:val="32"/>
          <w:highlight w:val="none"/>
        </w:rPr>
      </w:pPr>
    </w:p>
    <w:p w14:paraId="141BB77D">
      <w:pPr>
        <w:ind w:firstLine="640" w:firstLineChars="200"/>
        <w:jc w:val="right"/>
        <w:rPr>
          <w:rFonts w:hint="eastAsia" w:ascii="宋体" w:hAnsi="宋体" w:eastAsia="宋体" w:cs="宋体"/>
          <w:color w:val="auto"/>
          <w:sz w:val="32"/>
          <w:szCs w:val="32"/>
          <w:highlight w:val="none"/>
        </w:rPr>
      </w:pPr>
    </w:p>
    <w:p w14:paraId="065AF534">
      <w:pPr>
        <w:ind w:firstLine="640" w:firstLineChars="200"/>
        <w:jc w:val="right"/>
        <w:rPr>
          <w:rFonts w:hint="eastAsia" w:ascii="宋体" w:hAnsi="宋体" w:eastAsia="宋体" w:cs="宋体"/>
          <w:color w:val="auto"/>
          <w:sz w:val="32"/>
          <w:szCs w:val="32"/>
          <w:highlight w:val="none"/>
        </w:rPr>
      </w:pPr>
    </w:p>
    <w:p w14:paraId="6A7D879B">
      <w:pPr>
        <w:ind w:firstLine="640" w:firstLineChars="200"/>
        <w:jc w:val="right"/>
        <w:rPr>
          <w:rFonts w:hint="eastAsia" w:ascii="宋体" w:hAnsi="宋体" w:eastAsia="宋体" w:cs="宋体"/>
          <w:color w:val="auto"/>
          <w:sz w:val="32"/>
          <w:szCs w:val="32"/>
          <w:highlight w:val="none"/>
        </w:rPr>
      </w:pPr>
    </w:p>
    <w:p w14:paraId="6CC83C98">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供应商名称（盖章）：</w:t>
      </w:r>
    </w:p>
    <w:p w14:paraId="58C973A6">
      <w:pPr>
        <w:jc w:val="center"/>
        <w:rPr>
          <w:rFonts w:hint="eastAsia" w:ascii="宋体" w:hAnsi="宋体" w:eastAsia="宋体" w:cs="宋体"/>
          <w:color w:val="auto"/>
          <w:sz w:val="32"/>
          <w:szCs w:val="32"/>
          <w:highlight w:val="none"/>
        </w:rPr>
      </w:pPr>
    </w:p>
    <w:p w14:paraId="43669ED1">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法人代表（印章）：</w:t>
      </w:r>
    </w:p>
    <w:p w14:paraId="52E786E6">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w:t>
      </w:r>
    </w:p>
    <w:p w14:paraId="172F10A1">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年 月 日</w:t>
      </w:r>
    </w:p>
    <w:p w14:paraId="72EF51BB">
      <w:pPr>
        <w:pStyle w:val="2"/>
        <w:rPr>
          <w:rFonts w:hint="eastAsia"/>
          <w:color w:val="auto"/>
          <w:highlight w:val="none"/>
        </w:rPr>
      </w:pPr>
    </w:p>
    <w:p w14:paraId="7A95201B">
      <w:pPr>
        <w:pStyle w:val="3"/>
        <w:rPr>
          <w:rFonts w:hint="eastAsia" w:ascii="宋体" w:hAnsi="宋体" w:eastAsia="宋体" w:cs="宋体"/>
          <w:color w:val="auto"/>
          <w:sz w:val="32"/>
          <w:szCs w:val="32"/>
          <w:highlight w:val="none"/>
        </w:rPr>
      </w:pPr>
    </w:p>
    <w:p w14:paraId="0794D35B">
      <w:pPr>
        <w:pStyle w:val="3"/>
        <w:rPr>
          <w:rFonts w:hint="eastAsia" w:ascii="宋体" w:hAnsi="宋体" w:eastAsia="宋体" w:cs="宋体"/>
          <w:color w:val="auto"/>
          <w:sz w:val="32"/>
          <w:szCs w:val="32"/>
          <w:highlight w:val="none"/>
        </w:rPr>
      </w:pPr>
    </w:p>
    <w:p w14:paraId="555A19F1">
      <w:pPr>
        <w:pStyle w:val="3"/>
        <w:rPr>
          <w:rFonts w:hint="eastAsia" w:ascii="宋体" w:hAnsi="宋体" w:eastAsia="宋体" w:cs="宋体"/>
          <w:color w:val="auto"/>
          <w:sz w:val="32"/>
          <w:szCs w:val="32"/>
          <w:highlight w:val="none"/>
        </w:rPr>
      </w:pPr>
    </w:p>
    <w:p w14:paraId="603D3D69">
      <w:pPr>
        <w:pStyle w:val="3"/>
        <w:rPr>
          <w:rFonts w:hint="eastAsia" w:ascii="宋体" w:hAnsi="宋体" w:eastAsia="宋体" w:cs="宋体"/>
          <w:color w:val="auto"/>
          <w:sz w:val="32"/>
          <w:szCs w:val="32"/>
          <w:highlight w:val="none"/>
        </w:rPr>
      </w:pPr>
    </w:p>
    <w:p w14:paraId="039DB99F">
      <w:pPr>
        <w:numPr>
          <w:ilvl w:val="0"/>
          <w:numId w:val="10"/>
        </w:numPr>
        <w:spacing w:line="240" w:lineRule="auto"/>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公司相关资料（含营业执照）</w:t>
      </w:r>
    </w:p>
    <w:p w14:paraId="745BEEBE">
      <w:pPr>
        <w:pStyle w:val="2"/>
        <w:rPr>
          <w:rFonts w:hint="eastAsia"/>
          <w:color w:val="auto"/>
          <w:highlight w:val="none"/>
        </w:rPr>
      </w:pPr>
    </w:p>
    <w:p w14:paraId="2D448F50">
      <w:pPr>
        <w:pStyle w:val="3"/>
        <w:rPr>
          <w:rFonts w:hint="eastAsia" w:ascii="宋体" w:hAnsi="宋体" w:eastAsia="宋体" w:cs="宋体"/>
          <w:color w:val="auto"/>
          <w:sz w:val="36"/>
          <w:szCs w:val="36"/>
          <w:highlight w:val="none"/>
        </w:rPr>
      </w:pPr>
    </w:p>
    <w:p w14:paraId="28312325">
      <w:pPr>
        <w:pStyle w:val="3"/>
        <w:rPr>
          <w:rFonts w:hint="eastAsia" w:ascii="宋体" w:hAnsi="宋体" w:eastAsia="宋体" w:cs="宋体"/>
          <w:color w:val="auto"/>
          <w:sz w:val="36"/>
          <w:szCs w:val="36"/>
          <w:highlight w:val="none"/>
        </w:rPr>
      </w:pPr>
    </w:p>
    <w:p w14:paraId="1F852AE1">
      <w:pPr>
        <w:pStyle w:val="3"/>
        <w:rPr>
          <w:rFonts w:hint="eastAsia" w:ascii="宋体" w:hAnsi="宋体" w:eastAsia="宋体" w:cs="宋体"/>
          <w:color w:val="auto"/>
          <w:sz w:val="36"/>
          <w:szCs w:val="36"/>
          <w:highlight w:val="none"/>
        </w:rPr>
      </w:pPr>
    </w:p>
    <w:p w14:paraId="30D1B06A">
      <w:pPr>
        <w:pStyle w:val="3"/>
        <w:rPr>
          <w:rFonts w:hint="eastAsia" w:ascii="宋体" w:hAnsi="宋体" w:eastAsia="宋体" w:cs="宋体"/>
          <w:color w:val="auto"/>
          <w:sz w:val="36"/>
          <w:szCs w:val="36"/>
          <w:highlight w:val="none"/>
        </w:rPr>
      </w:pPr>
    </w:p>
    <w:p w14:paraId="2930979A">
      <w:pPr>
        <w:numPr>
          <w:ilvl w:val="0"/>
          <w:numId w:val="10"/>
        </w:numPr>
        <w:spacing w:line="720" w:lineRule="auto"/>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类似业绩</w:t>
      </w:r>
    </w:p>
    <w:tbl>
      <w:tblPr>
        <w:tblStyle w:val="31"/>
        <w:tblW w:w="4998" w:type="pct"/>
        <w:tblInd w:w="0" w:type="dxa"/>
        <w:tblLayout w:type="fixed"/>
        <w:tblCellMar>
          <w:top w:w="0" w:type="dxa"/>
          <w:left w:w="108" w:type="dxa"/>
          <w:bottom w:w="0" w:type="dxa"/>
          <w:right w:w="108" w:type="dxa"/>
        </w:tblCellMar>
      </w:tblPr>
      <w:tblGrid>
        <w:gridCol w:w="412"/>
        <w:gridCol w:w="2326"/>
        <w:gridCol w:w="2562"/>
        <w:gridCol w:w="2084"/>
        <w:gridCol w:w="1129"/>
      </w:tblGrid>
      <w:tr w14:paraId="4D166865">
        <w:tblPrEx>
          <w:tblCellMar>
            <w:top w:w="0" w:type="dxa"/>
            <w:left w:w="108" w:type="dxa"/>
            <w:bottom w:w="0" w:type="dxa"/>
            <w:right w:w="108" w:type="dxa"/>
          </w:tblCellMar>
        </w:tblPrEx>
        <w:trPr>
          <w:trHeight w:val="300" w:hRule="atLeast"/>
        </w:trPr>
        <w:tc>
          <w:tcPr>
            <w:tcW w:w="242" w:type="pct"/>
            <w:tcBorders>
              <w:top w:val="single" w:color="000000" w:sz="8" w:space="0"/>
              <w:left w:val="single" w:color="000000" w:sz="8" w:space="0"/>
              <w:bottom w:val="single" w:color="000000" w:sz="8" w:space="0"/>
              <w:right w:val="single" w:color="000000" w:sz="8" w:space="0"/>
            </w:tcBorders>
            <w:vAlign w:val="center"/>
          </w:tcPr>
          <w:p w14:paraId="4834AE1C">
            <w:pPr>
              <w:widowControl/>
              <w:jc w:val="center"/>
              <w:textAlignment w:val="center"/>
              <w:rPr>
                <w:rFonts w:hint="eastAsia" w:ascii="宋体" w:hAnsi="宋体" w:eastAsia="宋体" w:cs="宋体"/>
                <w:color w:val="auto"/>
                <w:sz w:val="24"/>
                <w:highlight w:val="none"/>
              </w:rPr>
            </w:pPr>
            <w:r>
              <w:rPr>
                <w:rStyle w:val="69"/>
                <w:rFonts w:hint="eastAsia" w:ascii="宋体" w:hAnsi="宋体" w:eastAsia="宋体" w:cs="宋体"/>
                <w:color w:val="auto"/>
                <w:highlight w:val="none"/>
                <w:lang w:bidi="ar"/>
              </w:rPr>
              <w:t>序号</w:t>
            </w:r>
          </w:p>
        </w:tc>
        <w:tc>
          <w:tcPr>
            <w:tcW w:w="1365" w:type="pct"/>
            <w:tcBorders>
              <w:top w:val="single" w:color="000000" w:sz="8" w:space="0"/>
              <w:left w:val="nil"/>
              <w:bottom w:val="single" w:color="000000" w:sz="8" w:space="0"/>
              <w:right w:val="single" w:color="000000" w:sz="8" w:space="0"/>
            </w:tcBorders>
            <w:vAlign w:val="center"/>
          </w:tcPr>
          <w:p w14:paraId="280846BC">
            <w:pPr>
              <w:widowControl/>
              <w:jc w:val="center"/>
              <w:textAlignment w:val="center"/>
              <w:rPr>
                <w:rFonts w:hint="eastAsia" w:ascii="宋体" w:hAnsi="宋体" w:eastAsia="宋体" w:cs="宋体"/>
                <w:color w:val="auto"/>
                <w:sz w:val="24"/>
                <w:highlight w:val="none"/>
              </w:rPr>
            </w:pPr>
            <w:r>
              <w:rPr>
                <w:rStyle w:val="69"/>
                <w:rFonts w:hint="eastAsia" w:ascii="宋体" w:hAnsi="宋体" w:eastAsia="宋体" w:cs="宋体"/>
                <w:color w:val="auto"/>
                <w:highlight w:val="none"/>
                <w:lang w:bidi="ar"/>
              </w:rPr>
              <w:t>项目业主</w:t>
            </w:r>
          </w:p>
        </w:tc>
        <w:tc>
          <w:tcPr>
            <w:tcW w:w="1504" w:type="pct"/>
            <w:tcBorders>
              <w:top w:val="single" w:color="000000" w:sz="8" w:space="0"/>
              <w:left w:val="nil"/>
              <w:bottom w:val="single" w:color="000000" w:sz="8" w:space="0"/>
              <w:right w:val="single" w:color="000000" w:sz="8" w:space="0"/>
            </w:tcBorders>
            <w:vAlign w:val="center"/>
          </w:tcPr>
          <w:p w14:paraId="608E569D">
            <w:pPr>
              <w:widowControl/>
              <w:jc w:val="center"/>
              <w:textAlignment w:val="center"/>
              <w:rPr>
                <w:rFonts w:hint="eastAsia" w:ascii="宋体" w:hAnsi="宋体" w:eastAsia="宋体" w:cs="宋体"/>
                <w:color w:val="auto"/>
                <w:sz w:val="24"/>
                <w:highlight w:val="none"/>
              </w:rPr>
            </w:pPr>
            <w:r>
              <w:rPr>
                <w:rStyle w:val="69"/>
                <w:rFonts w:hint="eastAsia" w:ascii="宋体" w:hAnsi="宋体" w:eastAsia="宋体" w:cs="宋体"/>
                <w:color w:val="auto"/>
                <w:highlight w:val="none"/>
                <w:lang w:bidi="ar"/>
              </w:rPr>
              <w:t>项目名称</w:t>
            </w:r>
          </w:p>
        </w:tc>
        <w:tc>
          <w:tcPr>
            <w:tcW w:w="1223" w:type="pct"/>
            <w:tcBorders>
              <w:top w:val="single" w:color="000000" w:sz="8" w:space="0"/>
              <w:left w:val="nil"/>
              <w:bottom w:val="single" w:color="000000" w:sz="8" w:space="0"/>
              <w:right w:val="single" w:color="000000" w:sz="8" w:space="0"/>
            </w:tcBorders>
            <w:vAlign w:val="center"/>
          </w:tcPr>
          <w:p w14:paraId="4F9DA757">
            <w:pPr>
              <w:widowControl/>
              <w:jc w:val="center"/>
              <w:textAlignment w:val="center"/>
              <w:rPr>
                <w:rFonts w:hint="eastAsia" w:ascii="宋体" w:hAnsi="宋体" w:eastAsia="宋体" w:cs="宋体"/>
                <w:color w:val="auto"/>
                <w:sz w:val="24"/>
                <w:highlight w:val="none"/>
              </w:rPr>
            </w:pPr>
            <w:r>
              <w:rPr>
                <w:rStyle w:val="69"/>
                <w:rFonts w:hint="eastAsia" w:ascii="宋体" w:hAnsi="宋体" w:eastAsia="宋体" w:cs="宋体"/>
                <w:color w:val="auto"/>
                <w:highlight w:val="none"/>
                <w:lang w:bidi="ar"/>
              </w:rPr>
              <w:t>建设规模</w:t>
            </w:r>
          </w:p>
        </w:tc>
        <w:tc>
          <w:tcPr>
            <w:tcW w:w="663" w:type="pct"/>
            <w:tcBorders>
              <w:top w:val="single" w:color="000000" w:sz="8" w:space="0"/>
              <w:left w:val="nil"/>
              <w:bottom w:val="single" w:color="000000" w:sz="8" w:space="0"/>
              <w:right w:val="single" w:color="000000" w:sz="8" w:space="0"/>
            </w:tcBorders>
            <w:vAlign w:val="center"/>
          </w:tcPr>
          <w:p w14:paraId="6E299A6E">
            <w:pPr>
              <w:widowControl/>
              <w:jc w:val="center"/>
              <w:textAlignment w:val="center"/>
              <w:rPr>
                <w:rFonts w:hint="eastAsia" w:ascii="宋体" w:hAnsi="宋体" w:eastAsia="宋体" w:cs="宋体"/>
                <w:color w:val="auto"/>
                <w:sz w:val="24"/>
                <w:highlight w:val="none"/>
              </w:rPr>
            </w:pPr>
            <w:r>
              <w:rPr>
                <w:rStyle w:val="69"/>
                <w:rFonts w:hint="eastAsia" w:ascii="宋体" w:hAnsi="宋体" w:eastAsia="宋体" w:cs="宋体"/>
                <w:color w:val="auto"/>
                <w:highlight w:val="none"/>
                <w:lang w:bidi="ar"/>
              </w:rPr>
              <w:t>合同价格（元）</w:t>
            </w:r>
          </w:p>
        </w:tc>
      </w:tr>
      <w:tr w14:paraId="327F5023">
        <w:tblPrEx>
          <w:tblCellMar>
            <w:top w:w="0" w:type="dxa"/>
            <w:left w:w="108" w:type="dxa"/>
            <w:bottom w:w="0" w:type="dxa"/>
            <w:right w:w="108" w:type="dxa"/>
          </w:tblCellMar>
        </w:tblPrEx>
        <w:trPr>
          <w:trHeight w:val="540" w:hRule="atLeast"/>
        </w:trPr>
        <w:tc>
          <w:tcPr>
            <w:tcW w:w="242" w:type="pct"/>
            <w:tcBorders>
              <w:top w:val="nil"/>
              <w:left w:val="single" w:color="000000" w:sz="8" w:space="0"/>
              <w:bottom w:val="single" w:color="000000" w:sz="8" w:space="0"/>
              <w:right w:val="single" w:color="000000" w:sz="8" w:space="0"/>
            </w:tcBorders>
            <w:vAlign w:val="center"/>
          </w:tcPr>
          <w:p w14:paraId="6FAFBD09">
            <w:pPr>
              <w:widowControl/>
              <w:jc w:val="center"/>
              <w:textAlignment w:val="center"/>
              <w:rPr>
                <w:rFonts w:hint="eastAsia" w:ascii="宋体" w:hAnsi="宋体" w:eastAsia="宋体" w:cs="宋体"/>
                <w:color w:val="auto"/>
                <w:sz w:val="24"/>
                <w:highlight w:val="none"/>
                <w:lang w:eastAsia="zh-CN"/>
              </w:rPr>
            </w:pPr>
          </w:p>
        </w:tc>
        <w:tc>
          <w:tcPr>
            <w:tcW w:w="1365" w:type="pct"/>
            <w:tcBorders>
              <w:top w:val="nil"/>
              <w:left w:val="nil"/>
              <w:bottom w:val="single" w:color="000000" w:sz="8" w:space="0"/>
              <w:right w:val="single" w:color="000000" w:sz="8" w:space="0"/>
            </w:tcBorders>
            <w:vAlign w:val="center"/>
          </w:tcPr>
          <w:p w14:paraId="43F3F403">
            <w:pPr>
              <w:widowControl/>
              <w:jc w:val="center"/>
              <w:textAlignment w:val="center"/>
              <w:rPr>
                <w:rFonts w:hint="eastAsia" w:ascii="宋体" w:hAnsi="宋体" w:eastAsia="宋体" w:cs="宋体"/>
                <w:color w:val="auto"/>
                <w:sz w:val="24"/>
                <w:highlight w:val="none"/>
              </w:rPr>
            </w:pPr>
          </w:p>
        </w:tc>
        <w:tc>
          <w:tcPr>
            <w:tcW w:w="1504" w:type="pct"/>
            <w:tcBorders>
              <w:top w:val="nil"/>
              <w:left w:val="nil"/>
              <w:bottom w:val="single" w:color="000000" w:sz="8" w:space="0"/>
              <w:right w:val="single" w:color="000000" w:sz="8" w:space="0"/>
            </w:tcBorders>
            <w:vAlign w:val="center"/>
          </w:tcPr>
          <w:p w14:paraId="00E4E6BE">
            <w:pPr>
              <w:widowControl/>
              <w:jc w:val="center"/>
              <w:textAlignment w:val="center"/>
              <w:rPr>
                <w:rFonts w:hint="eastAsia" w:ascii="宋体" w:hAnsi="宋体" w:eastAsia="宋体" w:cs="宋体"/>
                <w:color w:val="auto"/>
                <w:sz w:val="24"/>
                <w:highlight w:val="none"/>
              </w:rPr>
            </w:pPr>
          </w:p>
        </w:tc>
        <w:tc>
          <w:tcPr>
            <w:tcW w:w="1223" w:type="pct"/>
            <w:tcBorders>
              <w:top w:val="nil"/>
              <w:left w:val="nil"/>
              <w:bottom w:val="single" w:color="000000" w:sz="8" w:space="0"/>
              <w:right w:val="single" w:color="000000" w:sz="8" w:space="0"/>
            </w:tcBorders>
            <w:vAlign w:val="center"/>
          </w:tcPr>
          <w:p w14:paraId="6874BDB8">
            <w:pPr>
              <w:widowControl/>
              <w:jc w:val="center"/>
              <w:textAlignment w:val="center"/>
              <w:rPr>
                <w:rFonts w:hint="eastAsia" w:ascii="宋体" w:hAnsi="宋体" w:eastAsia="宋体" w:cs="宋体"/>
                <w:color w:val="auto"/>
                <w:sz w:val="24"/>
                <w:highlight w:val="none"/>
              </w:rPr>
            </w:pPr>
          </w:p>
        </w:tc>
        <w:tc>
          <w:tcPr>
            <w:tcW w:w="663" w:type="pct"/>
            <w:tcBorders>
              <w:top w:val="nil"/>
              <w:left w:val="nil"/>
              <w:bottom w:val="single" w:color="000000" w:sz="8" w:space="0"/>
              <w:right w:val="single" w:color="000000" w:sz="8" w:space="0"/>
            </w:tcBorders>
            <w:vAlign w:val="center"/>
          </w:tcPr>
          <w:p w14:paraId="619F2C9C">
            <w:pPr>
              <w:widowControl/>
              <w:jc w:val="center"/>
              <w:textAlignment w:val="center"/>
              <w:rPr>
                <w:rFonts w:hint="eastAsia" w:ascii="宋体" w:hAnsi="宋体" w:eastAsia="宋体" w:cs="宋体"/>
                <w:color w:val="auto"/>
                <w:sz w:val="24"/>
                <w:highlight w:val="none"/>
              </w:rPr>
            </w:pPr>
          </w:p>
        </w:tc>
      </w:tr>
      <w:tr w14:paraId="76DE53A4">
        <w:tblPrEx>
          <w:tblCellMar>
            <w:top w:w="0" w:type="dxa"/>
            <w:left w:w="108" w:type="dxa"/>
            <w:bottom w:w="0" w:type="dxa"/>
            <w:right w:w="108" w:type="dxa"/>
          </w:tblCellMar>
        </w:tblPrEx>
        <w:trPr>
          <w:trHeight w:val="600" w:hRule="atLeast"/>
        </w:trPr>
        <w:tc>
          <w:tcPr>
            <w:tcW w:w="242" w:type="pct"/>
            <w:tcBorders>
              <w:top w:val="nil"/>
              <w:left w:val="single" w:color="000000" w:sz="8" w:space="0"/>
              <w:bottom w:val="single" w:color="000000" w:sz="8" w:space="0"/>
              <w:right w:val="single" w:color="000000" w:sz="8" w:space="0"/>
            </w:tcBorders>
            <w:vAlign w:val="center"/>
          </w:tcPr>
          <w:p w14:paraId="59322508">
            <w:pPr>
              <w:widowControl/>
              <w:jc w:val="center"/>
              <w:textAlignment w:val="center"/>
              <w:rPr>
                <w:rFonts w:hint="eastAsia" w:ascii="宋体" w:hAnsi="宋体" w:eastAsia="宋体" w:cs="宋体"/>
                <w:color w:val="auto"/>
                <w:sz w:val="24"/>
                <w:highlight w:val="none"/>
              </w:rPr>
            </w:pPr>
          </w:p>
        </w:tc>
        <w:tc>
          <w:tcPr>
            <w:tcW w:w="1365" w:type="pct"/>
            <w:tcBorders>
              <w:top w:val="nil"/>
              <w:left w:val="nil"/>
              <w:bottom w:val="single" w:color="000000" w:sz="8" w:space="0"/>
              <w:right w:val="single" w:color="000000" w:sz="8" w:space="0"/>
            </w:tcBorders>
            <w:vAlign w:val="center"/>
          </w:tcPr>
          <w:p w14:paraId="73C38755">
            <w:pPr>
              <w:widowControl/>
              <w:jc w:val="center"/>
              <w:textAlignment w:val="center"/>
              <w:rPr>
                <w:rFonts w:hint="eastAsia" w:ascii="宋体" w:hAnsi="宋体" w:eastAsia="宋体" w:cs="宋体"/>
                <w:color w:val="auto"/>
                <w:sz w:val="24"/>
                <w:highlight w:val="none"/>
              </w:rPr>
            </w:pPr>
          </w:p>
        </w:tc>
        <w:tc>
          <w:tcPr>
            <w:tcW w:w="1504" w:type="pct"/>
            <w:tcBorders>
              <w:top w:val="nil"/>
              <w:left w:val="nil"/>
              <w:bottom w:val="single" w:color="000000" w:sz="8" w:space="0"/>
              <w:right w:val="single" w:color="000000" w:sz="8" w:space="0"/>
            </w:tcBorders>
            <w:vAlign w:val="center"/>
          </w:tcPr>
          <w:p w14:paraId="2F2BC982">
            <w:pPr>
              <w:widowControl/>
              <w:jc w:val="center"/>
              <w:textAlignment w:val="center"/>
              <w:rPr>
                <w:rFonts w:hint="eastAsia" w:ascii="宋体" w:hAnsi="宋体" w:eastAsia="宋体" w:cs="宋体"/>
                <w:color w:val="auto"/>
                <w:sz w:val="24"/>
                <w:highlight w:val="none"/>
              </w:rPr>
            </w:pPr>
          </w:p>
        </w:tc>
        <w:tc>
          <w:tcPr>
            <w:tcW w:w="1223" w:type="pct"/>
            <w:tcBorders>
              <w:top w:val="nil"/>
              <w:left w:val="nil"/>
              <w:bottom w:val="single" w:color="000000" w:sz="8" w:space="0"/>
              <w:right w:val="single" w:color="000000" w:sz="8" w:space="0"/>
            </w:tcBorders>
            <w:vAlign w:val="center"/>
          </w:tcPr>
          <w:p w14:paraId="3DDE3CFE">
            <w:pPr>
              <w:widowControl/>
              <w:jc w:val="center"/>
              <w:textAlignment w:val="center"/>
              <w:rPr>
                <w:rFonts w:hint="eastAsia" w:ascii="宋体" w:hAnsi="宋体" w:eastAsia="宋体" w:cs="宋体"/>
                <w:color w:val="auto"/>
                <w:sz w:val="24"/>
                <w:highlight w:val="none"/>
              </w:rPr>
            </w:pPr>
          </w:p>
        </w:tc>
        <w:tc>
          <w:tcPr>
            <w:tcW w:w="663" w:type="pct"/>
            <w:tcBorders>
              <w:top w:val="nil"/>
              <w:left w:val="nil"/>
              <w:bottom w:val="single" w:color="000000" w:sz="8" w:space="0"/>
              <w:right w:val="single" w:color="000000" w:sz="8" w:space="0"/>
            </w:tcBorders>
            <w:vAlign w:val="center"/>
          </w:tcPr>
          <w:p w14:paraId="11D6C207">
            <w:pPr>
              <w:widowControl/>
              <w:jc w:val="center"/>
              <w:textAlignment w:val="center"/>
              <w:rPr>
                <w:rFonts w:hint="eastAsia" w:ascii="宋体" w:hAnsi="宋体" w:eastAsia="宋体" w:cs="宋体"/>
                <w:color w:val="auto"/>
                <w:sz w:val="24"/>
                <w:highlight w:val="none"/>
              </w:rPr>
            </w:pPr>
          </w:p>
        </w:tc>
      </w:tr>
      <w:tr w14:paraId="41894B57">
        <w:tblPrEx>
          <w:tblCellMar>
            <w:top w:w="0" w:type="dxa"/>
            <w:left w:w="108" w:type="dxa"/>
            <w:bottom w:w="0" w:type="dxa"/>
            <w:right w:w="108" w:type="dxa"/>
          </w:tblCellMar>
        </w:tblPrEx>
        <w:trPr>
          <w:trHeight w:val="696" w:hRule="atLeast"/>
        </w:trPr>
        <w:tc>
          <w:tcPr>
            <w:tcW w:w="242" w:type="pct"/>
            <w:tcBorders>
              <w:top w:val="nil"/>
              <w:left w:val="single" w:color="000000" w:sz="8" w:space="0"/>
              <w:bottom w:val="single" w:color="000000" w:sz="8" w:space="0"/>
              <w:right w:val="single" w:color="000000" w:sz="8" w:space="0"/>
            </w:tcBorders>
            <w:vAlign w:val="center"/>
          </w:tcPr>
          <w:p w14:paraId="4A3BB742">
            <w:pPr>
              <w:widowControl/>
              <w:jc w:val="center"/>
              <w:textAlignment w:val="center"/>
              <w:rPr>
                <w:rFonts w:hint="eastAsia" w:ascii="宋体" w:hAnsi="宋体" w:eastAsia="宋体" w:cs="宋体"/>
                <w:color w:val="auto"/>
                <w:sz w:val="24"/>
                <w:highlight w:val="none"/>
              </w:rPr>
            </w:pPr>
          </w:p>
        </w:tc>
        <w:tc>
          <w:tcPr>
            <w:tcW w:w="1365" w:type="pct"/>
            <w:tcBorders>
              <w:top w:val="nil"/>
              <w:left w:val="nil"/>
              <w:bottom w:val="single" w:color="000000" w:sz="8" w:space="0"/>
              <w:right w:val="single" w:color="000000" w:sz="8" w:space="0"/>
            </w:tcBorders>
            <w:vAlign w:val="center"/>
          </w:tcPr>
          <w:p w14:paraId="6FF24267">
            <w:pPr>
              <w:widowControl/>
              <w:jc w:val="center"/>
              <w:textAlignment w:val="center"/>
              <w:rPr>
                <w:rFonts w:hint="eastAsia" w:ascii="宋体" w:hAnsi="宋体" w:eastAsia="宋体" w:cs="宋体"/>
                <w:color w:val="auto"/>
                <w:sz w:val="24"/>
                <w:highlight w:val="none"/>
              </w:rPr>
            </w:pPr>
          </w:p>
        </w:tc>
        <w:tc>
          <w:tcPr>
            <w:tcW w:w="1504" w:type="pct"/>
            <w:tcBorders>
              <w:top w:val="nil"/>
              <w:left w:val="nil"/>
              <w:bottom w:val="single" w:color="000000" w:sz="8" w:space="0"/>
              <w:right w:val="single" w:color="000000" w:sz="8" w:space="0"/>
            </w:tcBorders>
            <w:vAlign w:val="center"/>
          </w:tcPr>
          <w:p w14:paraId="3BEA6B0B">
            <w:pPr>
              <w:widowControl/>
              <w:jc w:val="center"/>
              <w:textAlignment w:val="center"/>
              <w:rPr>
                <w:rFonts w:hint="eastAsia" w:ascii="宋体" w:hAnsi="宋体" w:eastAsia="宋体" w:cs="宋体"/>
                <w:color w:val="auto"/>
                <w:sz w:val="24"/>
                <w:highlight w:val="none"/>
              </w:rPr>
            </w:pPr>
          </w:p>
        </w:tc>
        <w:tc>
          <w:tcPr>
            <w:tcW w:w="1223" w:type="pct"/>
            <w:tcBorders>
              <w:top w:val="nil"/>
              <w:left w:val="nil"/>
              <w:bottom w:val="single" w:color="000000" w:sz="8" w:space="0"/>
              <w:right w:val="single" w:color="000000" w:sz="8" w:space="0"/>
            </w:tcBorders>
            <w:vAlign w:val="center"/>
          </w:tcPr>
          <w:p w14:paraId="2B196821">
            <w:pPr>
              <w:widowControl/>
              <w:jc w:val="center"/>
              <w:textAlignment w:val="center"/>
              <w:rPr>
                <w:rFonts w:hint="eastAsia" w:ascii="宋体" w:hAnsi="宋体" w:eastAsia="宋体" w:cs="宋体"/>
                <w:color w:val="auto"/>
                <w:sz w:val="24"/>
                <w:highlight w:val="none"/>
              </w:rPr>
            </w:pPr>
          </w:p>
        </w:tc>
        <w:tc>
          <w:tcPr>
            <w:tcW w:w="663" w:type="pct"/>
            <w:tcBorders>
              <w:top w:val="nil"/>
              <w:left w:val="nil"/>
              <w:bottom w:val="single" w:color="000000" w:sz="8" w:space="0"/>
              <w:right w:val="single" w:color="000000" w:sz="8" w:space="0"/>
            </w:tcBorders>
            <w:vAlign w:val="center"/>
          </w:tcPr>
          <w:p w14:paraId="08BC7962">
            <w:pPr>
              <w:widowControl/>
              <w:jc w:val="center"/>
              <w:textAlignment w:val="center"/>
              <w:rPr>
                <w:rFonts w:hint="eastAsia" w:ascii="宋体" w:hAnsi="宋体" w:eastAsia="宋体" w:cs="宋体"/>
                <w:color w:val="auto"/>
                <w:sz w:val="24"/>
                <w:highlight w:val="none"/>
              </w:rPr>
            </w:pPr>
          </w:p>
        </w:tc>
      </w:tr>
    </w:tbl>
    <w:p w14:paraId="4B1C1EEC">
      <w:pPr>
        <w:spacing w:line="720" w:lineRule="auto"/>
        <w:rPr>
          <w:rFonts w:hint="eastAsia" w:ascii="宋体" w:hAnsi="宋体" w:eastAsia="宋体" w:cs="宋体"/>
          <w:color w:val="auto"/>
          <w:sz w:val="36"/>
          <w:szCs w:val="36"/>
          <w:highlight w:val="none"/>
        </w:rPr>
      </w:pPr>
    </w:p>
    <w:p w14:paraId="10DB272B">
      <w:pPr>
        <w:spacing w:line="720" w:lineRule="auto"/>
        <w:rPr>
          <w:rFonts w:hint="eastAsia" w:ascii="宋体" w:hAnsi="宋体" w:eastAsia="宋体" w:cs="宋体"/>
          <w:color w:val="auto"/>
          <w:sz w:val="36"/>
          <w:szCs w:val="36"/>
          <w:highlight w:val="none"/>
        </w:rPr>
      </w:pPr>
    </w:p>
    <w:p w14:paraId="427A5185">
      <w:pPr>
        <w:spacing w:line="720" w:lineRule="auto"/>
        <w:rPr>
          <w:rFonts w:hint="eastAsia" w:ascii="宋体" w:hAnsi="宋体" w:eastAsia="宋体" w:cs="宋体"/>
          <w:color w:val="auto"/>
          <w:sz w:val="36"/>
          <w:szCs w:val="36"/>
          <w:highlight w:val="none"/>
        </w:rPr>
      </w:pPr>
    </w:p>
    <w:p w14:paraId="69963E4B">
      <w:pPr>
        <w:spacing w:line="720" w:lineRule="auto"/>
        <w:rPr>
          <w:rFonts w:hint="eastAsia" w:ascii="宋体" w:hAnsi="宋体" w:eastAsia="宋体" w:cs="宋体"/>
          <w:color w:val="auto"/>
          <w:sz w:val="36"/>
          <w:szCs w:val="36"/>
          <w:highlight w:val="none"/>
        </w:rPr>
      </w:pPr>
    </w:p>
    <w:p w14:paraId="2A2B6BB4">
      <w:pPr>
        <w:pStyle w:val="2"/>
        <w:numPr>
          <w:ilvl w:val="4"/>
          <w:numId w:val="0"/>
        </w:numPr>
        <w:rPr>
          <w:rFonts w:hint="eastAsia"/>
          <w:color w:val="auto"/>
          <w:highlight w:val="none"/>
        </w:rPr>
      </w:pPr>
    </w:p>
    <w:p w14:paraId="1CAABC61">
      <w:pPr>
        <w:jc w:val="center"/>
        <w:rPr>
          <w:rFonts w:hint="eastAsia" w:ascii="宋体" w:hAnsi="宋体" w:eastAsia="宋体" w:cs="宋体"/>
          <w:color w:val="auto"/>
          <w:sz w:val="36"/>
          <w:szCs w:val="36"/>
          <w:highlight w:val="none"/>
        </w:rPr>
      </w:pPr>
    </w:p>
    <w:p w14:paraId="3FFA7259">
      <w:pPr>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五、承诺函</w:t>
      </w:r>
    </w:p>
    <w:p w14:paraId="0601A976">
      <w:pPr>
        <w:keepNext w:val="0"/>
        <w:keepLines w:val="0"/>
        <w:pageBreakBefore w:val="0"/>
        <w:widowControl w:val="0"/>
        <w:kinsoku/>
        <w:wordWrap/>
        <w:overflowPunct/>
        <w:topLinePunct w:val="0"/>
        <w:bidi w:val="0"/>
        <w:snapToGrid/>
        <w:spacing w:line="480" w:lineRule="exact"/>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成都汽车职业技术学校</w:t>
      </w:r>
      <w:r>
        <w:rPr>
          <w:rFonts w:hint="eastAsia" w:ascii="宋体" w:hAnsi="宋体" w:eastAsia="宋体" w:cs="宋体"/>
          <w:color w:val="auto"/>
          <w:sz w:val="24"/>
          <w:highlight w:val="none"/>
        </w:rPr>
        <w:t>：</w:t>
      </w:r>
    </w:p>
    <w:p w14:paraId="08CEC147">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我公司作为本次比选项目的投标人，根据比选文件要求，现郑重承诺如下：</w:t>
      </w:r>
    </w:p>
    <w:p w14:paraId="7ED9771D">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一、我公司具备以下要求：</w:t>
      </w:r>
    </w:p>
    <w:p w14:paraId="77BB87D2">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（一）具有独立承担民事责任的能力；</w:t>
      </w:r>
    </w:p>
    <w:p w14:paraId="70567FE4">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（二）具有良好的商业信誉和健全的财务会计制度；</w:t>
      </w:r>
    </w:p>
    <w:p w14:paraId="417550BA">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（三）具有履行合同所必需的设备和专业技术能力；</w:t>
      </w:r>
    </w:p>
    <w:p w14:paraId="4CA6D5FF">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（四）有依法缴纳税收和社会保障资金的良好记录；</w:t>
      </w:r>
    </w:p>
    <w:p w14:paraId="376C7D17">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（五）参加政府采购活动前三年内，在经营活动中没有重大违法记录；</w:t>
      </w:r>
    </w:p>
    <w:p w14:paraId="5807B2F2">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（六）法律、行政法规规定的其他条件；</w:t>
      </w:r>
    </w:p>
    <w:p w14:paraId="3A68D4B7">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二、我公司不属于禁止参加本次采购活动的投标人：</w:t>
      </w:r>
    </w:p>
    <w:p w14:paraId="62B55269">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1.不属于列入失信被执行人名单、重大税收违法案件当事人名单、政府采购严重违法失信行为记录名单中的单位。</w:t>
      </w:r>
    </w:p>
    <w:p w14:paraId="61276F7E">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2.法律、行政法规规定的其他情形。</w:t>
      </w:r>
    </w:p>
    <w:p w14:paraId="40ED1D73">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三、信誉要求：</w:t>
      </w:r>
    </w:p>
    <w:p w14:paraId="638F9519">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我公司未处于财产被接管、冻结、破产状态，未处于四川省行政区域内有关行政处罚期间。单位及其现任法定代表人、主要负责人在前三年内不得具有行贿犯罪记录。</w:t>
      </w:r>
    </w:p>
    <w:p w14:paraId="4E27E3DF">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四、承诺</w:t>
      </w:r>
      <w:r>
        <w:rPr>
          <w:rFonts w:hint="eastAsia" w:ascii="宋体" w:hAnsi="宋体" w:cs="宋体"/>
          <w:color w:val="auto"/>
          <w:sz w:val="24"/>
          <w:highlight w:val="none"/>
          <w:lang w:val="en-US" w:eastAsia="zh-CN"/>
        </w:rPr>
        <w:t>书</w:t>
      </w:r>
    </w:p>
    <w:p w14:paraId="4FF3567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1"/>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我</w:t>
      </w:r>
      <w:r>
        <w:rPr>
          <w:rFonts w:hint="eastAsia" w:ascii="宋体" w:hAnsi="宋体" w:cs="宋体"/>
          <w:color w:val="auto"/>
          <w:sz w:val="24"/>
          <w:highlight w:val="none"/>
          <w:lang w:val="en-US" w:eastAsia="zh-CN"/>
        </w:rPr>
        <w:t>司</w:t>
      </w:r>
      <w:r>
        <w:rPr>
          <w:rFonts w:hint="eastAsia" w:ascii="宋体" w:hAnsi="宋体" w:eastAsia="宋体" w:cs="宋体"/>
          <w:color w:val="auto"/>
          <w:sz w:val="24"/>
          <w:highlight w:val="none"/>
          <w:lang w:val="en-US" w:eastAsia="zh-CN"/>
        </w:rPr>
        <w:t>作为本项目投标人，就本次项目投标及后续履约事宜作出如下郑重承诺：</w:t>
      </w:r>
    </w:p>
    <w:p w14:paraId="0D3245F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1"/>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（一）</w:t>
      </w:r>
      <w:r>
        <w:rPr>
          <w:rFonts w:hint="eastAsia" w:ascii="宋体" w:hAnsi="宋体" w:eastAsia="宋体" w:cs="宋体"/>
          <w:color w:val="auto"/>
          <w:sz w:val="24"/>
          <w:highlight w:val="none"/>
          <w:lang w:val="en-US" w:eastAsia="zh-CN"/>
        </w:rPr>
        <w:t>我方全面、完整理解本项目比选文件载明的全部商务要求、技术规格、售后及配套服务标准，投标报价、技术方案、服务方案均严格对标采购需求编制；</w:t>
      </w:r>
    </w:p>
    <w:p w14:paraId="1F3EC2F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1"/>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（二）</w:t>
      </w:r>
      <w:r>
        <w:rPr>
          <w:rFonts w:hint="eastAsia" w:ascii="宋体" w:hAnsi="宋体" w:eastAsia="宋体" w:cs="宋体"/>
          <w:color w:val="auto"/>
          <w:sz w:val="24"/>
          <w:highlight w:val="none"/>
          <w:lang w:val="en-US" w:eastAsia="zh-CN"/>
        </w:rPr>
        <w:t>针对比选文件中文字疏漏、表述不详、参数歧义等客观瑕疵，我方投标前主动向采购人书面问询核实，坚决杜绝刻意利用文件漏洞、断章取义曲解需求、刻意压低技术配置、缩水服务内容、变相更改商务约定等投机投标行为；</w:t>
      </w:r>
    </w:p>
    <w:p w14:paraId="0FB92EE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1"/>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（三）</w:t>
      </w:r>
      <w:r>
        <w:rPr>
          <w:rFonts w:hint="eastAsia" w:ascii="宋体" w:hAnsi="宋体" w:eastAsia="宋体" w:cs="宋体"/>
          <w:color w:val="auto"/>
          <w:sz w:val="24"/>
          <w:highlight w:val="none"/>
          <w:lang w:val="en-US" w:eastAsia="zh-CN"/>
        </w:rPr>
        <w:t>中标后严格按照招标文件、中标响应文件及校方实际使用需求履约，不因招标文件疏漏擅自降低产品质量、删减服务事项、抬高额外费用；</w:t>
      </w:r>
    </w:p>
    <w:p w14:paraId="3813924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1"/>
        <w:rPr>
          <w:rFonts w:hint="default"/>
          <w:color w:val="auto"/>
          <w:highlight w:val="none"/>
          <w:lang w:val="en-US" w:eastAsia="zh-CN"/>
        </w:rPr>
      </w:pPr>
      <w:r>
        <w:rPr>
          <w:rFonts w:hint="eastAsia" w:ascii="宋体" w:hAnsi="宋体" w:cs="宋体"/>
          <w:color w:val="auto"/>
          <w:sz w:val="24"/>
          <w:highlight w:val="none"/>
          <w:lang w:val="en-US" w:eastAsia="zh-CN"/>
        </w:rPr>
        <w:t>（四）</w:t>
      </w:r>
      <w:r>
        <w:rPr>
          <w:rFonts w:hint="eastAsia" w:ascii="宋体" w:hAnsi="宋体" w:eastAsia="宋体" w:cs="宋体"/>
          <w:color w:val="auto"/>
          <w:sz w:val="24"/>
          <w:highlight w:val="none"/>
          <w:lang w:val="en-US" w:eastAsia="zh-CN"/>
        </w:rPr>
        <w:t>如若我方存在违背上述承诺、钻取文件漏洞谋取不当利益的情形，校方有权作废投标/中标结果、终止采购合同，我方自愿承担由此产生的一切经济赔偿、履约损失及相关法律责任。</w:t>
      </w:r>
    </w:p>
    <w:p w14:paraId="3BAD8258">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eastAsia="宋体" w:cs="宋体"/>
          <w:color w:val="auto"/>
          <w:sz w:val="24"/>
          <w:highlight w:val="none"/>
        </w:rPr>
      </w:pPr>
    </w:p>
    <w:p w14:paraId="7F266E53">
      <w:pPr>
        <w:keepNext w:val="0"/>
        <w:keepLines w:val="0"/>
        <w:pageBreakBefore w:val="0"/>
        <w:widowControl w:val="0"/>
        <w:kinsoku/>
        <w:wordWrap/>
        <w:overflowPunct/>
        <w:topLinePunct w:val="0"/>
        <w:bidi w:val="0"/>
        <w:snapToGrid/>
        <w:spacing w:line="480" w:lineRule="exact"/>
        <w:ind w:firstLine="480" w:firstLineChars="200"/>
        <w:textAlignment w:val="auto"/>
        <w:outlineLvl w:val="1"/>
        <w:rPr>
          <w:rFonts w:hint="eastAsia" w:ascii="宋体" w:hAnsi="宋体" w:cs="宋体"/>
          <w:color w:val="auto"/>
          <w:highlight w:val="none"/>
        </w:rPr>
      </w:pPr>
      <w:r>
        <w:rPr>
          <w:rFonts w:hint="eastAsia" w:ascii="宋体" w:hAnsi="宋体" w:eastAsia="宋体" w:cs="宋体"/>
          <w:color w:val="auto"/>
          <w:sz w:val="24"/>
          <w:highlight w:val="none"/>
        </w:rPr>
        <w:t>本公司对上述承诺的内容事项真实性负责。</w:t>
      </w:r>
    </w:p>
    <w:p w14:paraId="5A5B87D4">
      <w:pPr>
        <w:keepNext w:val="0"/>
        <w:keepLines w:val="0"/>
        <w:pageBreakBefore w:val="0"/>
        <w:widowControl w:val="0"/>
        <w:kinsoku/>
        <w:wordWrap/>
        <w:overflowPunct/>
        <w:topLinePunct w:val="0"/>
        <w:bidi w:val="0"/>
        <w:snapToGrid/>
        <w:spacing w:line="480" w:lineRule="exact"/>
        <w:ind w:firstLine="470" w:firstLineChars="196"/>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投标人：（单位盖章）。</w:t>
      </w:r>
    </w:p>
    <w:p w14:paraId="0476A42A">
      <w:pPr>
        <w:keepNext w:val="0"/>
        <w:keepLines w:val="0"/>
        <w:pageBreakBefore w:val="0"/>
        <w:widowControl w:val="0"/>
        <w:kinsoku/>
        <w:wordWrap/>
        <w:overflowPunct/>
        <w:topLinePunct w:val="0"/>
        <w:bidi w:val="0"/>
        <w:snapToGrid/>
        <w:spacing w:line="480" w:lineRule="exact"/>
        <w:ind w:firstLine="470" w:firstLineChars="196"/>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法定代表人/单位负责人或授权代表（签字）：。</w:t>
      </w:r>
    </w:p>
    <w:p w14:paraId="5684920F">
      <w:pPr>
        <w:keepNext w:val="0"/>
        <w:keepLines w:val="0"/>
        <w:pageBreakBefore w:val="0"/>
        <w:widowControl w:val="0"/>
        <w:kinsoku/>
        <w:wordWrap/>
        <w:overflowPunct/>
        <w:topLinePunct w:val="0"/>
        <w:bidi w:val="0"/>
        <w:snapToGrid/>
        <w:spacing w:line="480" w:lineRule="exact"/>
        <w:ind w:firstLine="470" w:firstLineChars="196"/>
        <w:textAlignment w:val="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日期：。</w:t>
      </w:r>
    </w:p>
    <w:p w14:paraId="36E42922">
      <w:pPr>
        <w:pStyle w:val="40"/>
        <w:spacing w:line="360" w:lineRule="auto"/>
        <w:rPr>
          <w:rFonts w:hint="eastAsia" w:ascii="宋体" w:hAnsi="宋体" w:eastAsia="宋体" w:cs="宋体"/>
          <w:color w:val="auto"/>
          <w:sz w:val="28"/>
          <w:szCs w:val="28"/>
          <w:highlight w:val="none"/>
        </w:rPr>
      </w:pPr>
    </w:p>
    <w:p w14:paraId="6A0AD577">
      <w:pPr>
        <w:pStyle w:val="12"/>
        <w:rPr>
          <w:rFonts w:hint="eastAsia" w:ascii="宋体" w:hAnsi="宋体" w:cs="宋体"/>
          <w:color w:val="auto"/>
          <w:highlight w:val="none"/>
        </w:rPr>
      </w:pPr>
    </w:p>
    <w:p w14:paraId="3CAC2773">
      <w:pPr>
        <w:widowControl/>
        <w:spacing w:after="0" w:line="700" w:lineRule="exact"/>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br w:type="page"/>
      </w:r>
    </w:p>
    <w:p w14:paraId="33722BDD">
      <w:pPr>
        <w:pStyle w:val="4"/>
        <w:spacing w:before="120" w:after="120" w:line="700" w:lineRule="exact"/>
        <w:jc w:val="center"/>
        <w:rPr>
          <w:rFonts w:hint="eastAsia" w:ascii="宋体" w:hAnsi="宋体" w:eastAsia="宋体" w:cs="宋体"/>
          <w:b w:val="0"/>
          <w:color w:val="auto"/>
          <w:highlight w:val="none"/>
        </w:rPr>
      </w:pPr>
      <w:bookmarkStart w:id="88" w:name="_Toc18544"/>
      <w:bookmarkStart w:id="89" w:name="_Toc25079261"/>
      <w:r>
        <w:rPr>
          <w:rFonts w:hint="eastAsia" w:ascii="宋体" w:hAnsi="宋体" w:eastAsia="宋体" w:cs="宋体"/>
          <w:b w:val="0"/>
          <w:color w:val="auto"/>
          <w:highlight w:val="none"/>
        </w:rPr>
        <w:t>第四章</w:t>
      </w:r>
      <w:bookmarkEnd w:id="87"/>
      <w:r>
        <w:rPr>
          <w:rFonts w:hint="eastAsia" w:ascii="宋体" w:hAnsi="宋体" w:eastAsia="宋体" w:cs="宋体"/>
          <w:b w:val="0"/>
          <w:color w:val="auto"/>
          <w:highlight w:val="none"/>
        </w:rPr>
        <w:t>资格审查</w:t>
      </w:r>
      <w:bookmarkEnd w:id="88"/>
      <w:bookmarkEnd w:id="89"/>
    </w:p>
    <w:p w14:paraId="3E0982E5">
      <w:pPr>
        <w:spacing w:line="700" w:lineRule="exact"/>
        <w:ind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资格审查由成都汽车职业技术学校组建资格审查小组依据法律法规和比选文件的规定，对投标人投标文件中的资格证明等进行审查，以确定投标人是否具备投标资格。</w:t>
      </w:r>
    </w:p>
    <w:p w14:paraId="0DEF5B38">
      <w:pPr>
        <w:tabs>
          <w:tab w:val="left" w:pos="851"/>
        </w:tabs>
        <w:spacing w:line="580" w:lineRule="exact"/>
        <w:ind w:firstLine="646" w:firstLineChars="202"/>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资格审查标准见下表：</w:t>
      </w:r>
    </w:p>
    <w:tbl>
      <w:tblPr>
        <w:tblStyle w:val="31"/>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66"/>
        <w:gridCol w:w="5812"/>
        <w:gridCol w:w="1134"/>
      </w:tblGrid>
      <w:tr w14:paraId="7E27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10" w:type="dxa"/>
            <w:vAlign w:val="center"/>
          </w:tcPr>
          <w:p w14:paraId="10AA106F">
            <w:pPr>
              <w:pStyle w:val="44"/>
              <w:rPr>
                <w:rFonts w:hint="eastAsia" w:ascii="宋体" w:hAnsi="宋体" w:eastAsia="宋体" w:cs="宋体"/>
                <w:color w:val="auto"/>
                <w:sz w:val="28"/>
                <w:highlight w:val="none"/>
              </w:rPr>
            </w:pPr>
            <w:r>
              <w:rPr>
                <w:rFonts w:hint="eastAsia" w:ascii="宋体" w:hAnsi="宋体" w:eastAsia="宋体" w:cs="宋体"/>
                <w:color w:val="auto"/>
                <w:sz w:val="28"/>
                <w:highlight w:val="none"/>
              </w:rPr>
              <w:t>序号</w:t>
            </w:r>
          </w:p>
        </w:tc>
        <w:tc>
          <w:tcPr>
            <w:tcW w:w="1666" w:type="dxa"/>
            <w:vAlign w:val="center"/>
          </w:tcPr>
          <w:p w14:paraId="67453C34">
            <w:pPr>
              <w:pStyle w:val="44"/>
              <w:rPr>
                <w:rFonts w:hint="eastAsia" w:ascii="宋体" w:hAnsi="宋体" w:eastAsia="宋体" w:cs="宋体"/>
                <w:color w:val="auto"/>
                <w:sz w:val="28"/>
                <w:highlight w:val="none"/>
              </w:rPr>
            </w:pPr>
            <w:r>
              <w:rPr>
                <w:rFonts w:hint="eastAsia" w:ascii="宋体" w:hAnsi="宋体" w:eastAsia="宋体" w:cs="宋体"/>
                <w:color w:val="auto"/>
                <w:sz w:val="28"/>
                <w:highlight w:val="none"/>
              </w:rPr>
              <w:t>审查项目</w:t>
            </w:r>
          </w:p>
        </w:tc>
        <w:tc>
          <w:tcPr>
            <w:tcW w:w="5812" w:type="dxa"/>
            <w:vAlign w:val="center"/>
          </w:tcPr>
          <w:p w14:paraId="66237479">
            <w:pPr>
              <w:pStyle w:val="44"/>
              <w:rPr>
                <w:rFonts w:hint="eastAsia" w:ascii="宋体" w:hAnsi="宋体" w:eastAsia="宋体" w:cs="宋体"/>
                <w:color w:val="auto"/>
                <w:sz w:val="28"/>
                <w:highlight w:val="none"/>
              </w:rPr>
            </w:pPr>
            <w:r>
              <w:rPr>
                <w:rFonts w:hint="eastAsia" w:ascii="宋体" w:hAnsi="宋体" w:eastAsia="宋体" w:cs="宋体"/>
                <w:color w:val="auto"/>
                <w:sz w:val="28"/>
                <w:highlight w:val="none"/>
              </w:rPr>
              <w:t>合格条件</w:t>
            </w:r>
          </w:p>
        </w:tc>
        <w:tc>
          <w:tcPr>
            <w:tcW w:w="1134" w:type="dxa"/>
            <w:vAlign w:val="center"/>
          </w:tcPr>
          <w:p w14:paraId="79384123">
            <w:pPr>
              <w:pStyle w:val="44"/>
              <w:rPr>
                <w:rFonts w:hint="eastAsia" w:ascii="宋体" w:hAnsi="宋体" w:eastAsia="宋体" w:cs="宋体"/>
                <w:color w:val="auto"/>
                <w:sz w:val="28"/>
                <w:highlight w:val="none"/>
              </w:rPr>
            </w:pPr>
            <w:r>
              <w:rPr>
                <w:rFonts w:hint="eastAsia" w:ascii="宋体" w:hAnsi="宋体" w:eastAsia="宋体" w:cs="宋体"/>
                <w:color w:val="auto"/>
                <w:sz w:val="28"/>
                <w:highlight w:val="none"/>
              </w:rPr>
              <w:t>结论</w:t>
            </w:r>
          </w:p>
        </w:tc>
      </w:tr>
      <w:tr w14:paraId="78A1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710" w:type="dxa"/>
            <w:vAlign w:val="center"/>
          </w:tcPr>
          <w:p w14:paraId="57F93177">
            <w:pPr>
              <w:pStyle w:val="44"/>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666" w:type="dxa"/>
            <w:vAlign w:val="center"/>
          </w:tcPr>
          <w:p w14:paraId="0DEB84C4">
            <w:pPr>
              <w:pStyle w:val="44"/>
              <w:rPr>
                <w:rFonts w:hint="eastAsia" w:ascii="宋体" w:hAnsi="宋体" w:eastAsia="宋体" w:cs="宋体"/>
                <w:color w:val="auto"/>
                <w:highlight w:val="none"/>
              </w:rPr>
            </w:pPr>
            <w:r>
              <w:rPr>
                <w:rFonts w:hint="eastAsia" w:ascii="宋体" w:hAnsi="宋体" w:eastAsia="宋体" w:cs="宋体"/>
                <w:color w:val="auto"/>
                <w:sz w:val="24"/>
                <w:szCs w:val="24"/>
                <w:highlight w:val="none"/>
              </w:rPr>
              <w:t>具有独立承担民事责任的能力</w:t>
            </w:r>
          </w:p>
        </w:tc>
        <w:tc>
          <w:tcPr>
            <w:tcW w:w="5812" w:type="dxa"/>
            <w:vAlign w:val="center"/>
          </w:tcPr>
          <w:p w14:paraId="1F510136">
            <w:pPr>
              <w:pStyle w:val="44"/>
              <w:numPr>
                <w:ilvl w:val="0"/>
                <w:numId w:val="11"/>
              </w:numPr>
              <w:ind w:firstLine="48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投标人是法人的：要求提供有效期内的企业法人营业执照复印件（正本或副本），并加盖公章。</w:t>
            </w:r>
          </w:p>
          <w:p w14:paraId="01A83C54">
            <w:pPr>
              <w:pStyle w:val="44"/>
              <w:numPr>
                <w:ilvl w:val="0"/>
                <w:numId w:val="11"/>
              </w:numPr>
              <w:ind w:firstLine="48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投标人是其他组织的，要求提供营业执照复印件（正本或副本），并加盖公章。</w:t>
            </w:r>
          </w:p>
        </w:tc>
        <w:tc>
          <w:tcPr>
            <w:tcW w:w="1134" w:type="dxa"/>
            <w:vAlign w:val="center"/>
          </w:tcPr>
          <w:p w14:paraId="2E1F0F79">
            <w:pPr>
              <w:pStyle w:val="44"/>
              <w:rPr>
                <w:rFonts w:hint="eastAsia" w:ascii="宋体" w:hAnsi="宋体" w:eastAsia="宋体" w:cs="宋体"/>
                <w:color w:val="auto"/>
                <w:highlight w:val="none"/>
              </w:rPr>
            </w:pPr>
          </w:p>
        </w:tc>
      </w:tr>
      <w:tr w14:paraId="5194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710" w:type="dxa"/>
            <w:vAlign w:val="center"/>
          </w:tcPr>
          <w:p w14:paraId="640D6651">
            <w:pPr>
              <w:pStyle w:val="44"/>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666" w:type="dxa"/>
            <w:vAlign w:val="center"/>
          </w:tcPr>
          <w:p w14:paraId="4A781D8F">
            <w:pPr>
              <w:spacing w:line="240" w:lineRule="auto"/>
              <w:ind w:firstLine="0" w:firstLineChars="0"/>
              <w:outlineLvl w:val="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一</w:t>
            </w:r>
            <w:r>
              <w:rPr>
                <w:rFonts w:hint="eastAsia" w:ascii="宋体" w:hAnsi="宋体" w:eastAsia="宋体" w:cs="宋体"/>
                <w:color w:val="auto"/>
                <w:sz w:val="24"/>
                <w:highlight w:val="none"/>
              </w:rPr>
              <w:t>）具有良好的商业信誉和健全的财务会计制度；</w:t>
            </w:r>
          </w:p>
          <w:p w14:paraId="74553EEF">
            <w:pPr>
              <w:spacing w:line="240" w:lineRule="auto"/>
              <w:ind w:firstLine="0" w:firstLineChars="0"/>
              <w:outlineLvl w:val="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二</w:t>
            </w:r>
            <w:r>
              <w:rPr>
                <w:rFonts w:hint="eastAsia" w:ascii="宋体" w:hAnsi="宋体" w:eastAsia="宋体" w:cs="宋体"/>
                <w:color w:val="auto"/>
                <w:sz w:val="24"/>
                <w:highlight w:val="none"/>
              </w:rPr>
              <w:t>）具有履行合同所必需的设备和专业技术能力；</w:t>
            </w:r>
          </w:p>
          <w:p w14:paraId="41127C61">
            <w:pPr>
              <w:spacing w:line="240" w:lineRule="auto"/>
              <w:ind w:firstLine="0" w:firstLineChars="0"/>
              <w:outlineLvl w:val="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三</w:t>
            </w:r>
            <w:r>
              <w:rPr>
                <w:rFonts w:hint="eastAsia" w:ascii="宋体" w:hAnsi="宋体" w:eastAsia="宋体" w:cs="宋体"/>
                <w:color w:val="auto"/>
                <w:sz w:val="24"/>
                <w:highlight w:val="none"/>
              </w:rPr>
              <w:t>）有依法缴纳税收和社会保障资金的良好记录；</w:t>
            </w:r>
          </w:p>
          <w:p w14:paraId="1E762872">
            <w:pPr>
              <w:spacing w:line="240" w:lineRule="auto"/>
              <w:ind w:firstLine="0" w:firstLineChars="0"/>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四</w:t>
            </w:r>
            <w:r>
              <w:rPr>
                <w:rFonts w:hint="eastAsia" w:ascii="宋体" w:hAnsi="宋体" w:eastAsia="宋体" w:cs="宋体"/>
                <w:color w:val="auto"/>
                <w:sz w:val="24"/>
                <w:highlight w:val="none"/>
              </w:rPr>
              <w:t>）参加政府采购活动前三年内，在经营活动中没有重大违法记录；</w:t>
            </w:r>
          </w:p>
          <w:p w14:paraId="576F2F36">
            <w:pPr>
              <w:spacing w:line="240" w:lineRule="auto"/>
              <w:outlineLvl w:val="1"/>
              <w:rPr>
                <w:rFonts w:hint="eastAsia" w:ascii="宋体" w:hAnsi="宋体" w:eastAsia="宋体" w:cs="宋体"/>
                <w:color w:val="auto"/>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五</w:t>
            </w:r>
            <w:r>
              <w:rPr>
                <w:rFonts w:hint="eastAsia" w:ascii="宋体" w:hAnsi="宋体" w:eastAsia="宋体" w:cs="宋体"/>
                <w:color w:val="auto"/>
                <w:sz w:val="24"/>
                <w:highlight w:val="none"/>
              </w:rPr>
              <w:t>）法律、行政法规规定的其他条件；</w:t>
            </w:r>
          </w:p>
        </w:tc>
        <w:tc>
          <w:tcPr>
            <w:tcW w:w="5812" w:type="dxa"/>
            <w:vAlign w:val="center"/>
          </w:tcPr>
          <w:p w14:paraId="2B92685D">
            <w:pPr>
              <w:rPr>
                <w:color w:val="auto"/>
                <w:highlight w:val="none"/>
              </w:rPr>
            </w:pPr>
          </w:p>
          <w:p w14:paraId="00042D52">
            <w:pPr>
              <w:pStyle w:val="44"/>
              <w:ind w:firstLine="48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投标人提供承诺</w:t>
            </w:r>
            <w:r>
              <w:rPr>
                <w:rFonts w:hint="eastAsia" w:ascii="宋体" w:hAnsi="宋体" w:eastAsia="宋体" w:cs="宋体"/>
                <w:color w:val="auto"/>
                <w:highlight w:val="none"/>
                <w:lang w:val="en-US" w:eastAsia="zh-CN"/>
              </w:rPr>
              <w:t>函</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详见第三章）</w:t>
            </w:r>
            <w:r>
              <w:rPr>
                <w:rFonts w:hint="eastAsia" w:ascii="宋体" w:hAnsi="宋体" w:eastAsia="宋体" w:cs="宋体"/>
                <w:color w:val="auto"/>
                <w:highlight w:val="none"/>
              </w:rPr>
              <w:t>。</w:t>
            </w:r>
          </w:p>
        </w:tc>
        <w:tc>
          <w:tcPr>
            <w:tcW w:w="1134" w:type="dxa"/>
            <w:vAlign w:val="center"/>
          </w:tcPr>
          <w:p w14:paraId="2ABA8BDB">
            <w:pPr>
              <w:pStyle w:val="44"/>
              <w:rPr>
                <w:rFonts w:hint="eastAsia" w:ascii="宋体" w:hAnsi="宋体" w:eastAsia="宋体" w:cs="宋体"/>
                <w:color w:val="auto"/>
                <w:highlight w:val="none"/>
              </w:rPr>
            </w:pPr>
          </w:p>
        </w:tc>
      </w:tr>
      <w:tr w14:paraId="112C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710" w:type="dxa"/>
            <w:vAlign w:val="center"/>
          </w:tcPr>
          <w:p w14:paraId="5D62CADA">
            <w:pPr>
              <w:pStyle w:val="44"/>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1666" w:type="dxa"/>
            <w:vAlign w:val="center"/>
          </w:tcPr>
          <w:p w14:paraId="72BF1D06">
            <w:pPr>
              <w:spacing w:line="240" w:lineRule="auto"/>
              <w:outlineLvl w:val="1"/>
              <w:rPr>
                <w:rFonts w:hint="eastAsia" w:ascii="宋体" w:hAnsi="宋体" w:eastAsia="宋体" w:cs="宋体"/>
                <w:color w:val="auto"/>
                <w:sz w:val="24"/>
                <w:highlight w:val="none"/>
              </w:rPr>
            </w:pPr>
            <w:r>
              <w:rPr>
                <w:rFonts w:hint="eastAsia" w:hAnsi="宋体" w:cs="宋体"/>
                <w:snapToGrid w:val="0"/>
                <w:color w:val="auto"/>
                <w:sz w:val="24"/>
                <w:szCs w:val="24"/>
                <w:highlight w:val="none"/>
                <w:lang w:val="en-US" w:eastAsia="zh-CN"/>
              </w:rPr>
              <w:t>供应商须具有合法有效的《医疗机构执业许可证》或《诊所备案凭证》【提供资质证书复印件并加盖公章】</w:t>
            </w:r>
          </w:p>
        </w:tc>
        <w:tc>
          <w:tcPr>
            <w:tcW w:w="5812" w:type="dxa"/>
            <w:vAlign w:val="center"/>
          </w:tcPr>
          <w:p w14:paraId="1F3153D8">
            <w:pPr>
              <w:pStyle w:val="44"/>
              <w:ind w:firstLine="480" w:firstLineChars="200"/>
              <w:jc w:val="left"/>
              <w:rPr>
                <w:rFonts w:hint="eastAsia" w:ascii="宋体" w:hAnsi="宋体" w:eastAsia="宋体" w:cs="宋体"/>
                <w:color w:val="auto"/>
                <w:highlight w:val="none"/>
              </w:rPr>
            </w:pPr>
            <w:r>
              <w:rPr>
                <w:rFonts w:hint="eastAsia" w:hAnsi="宋体" w:cs="宋体"/>
                <w:snapToGrid w:val="0"/>
                <w:color w:val="auto"/>
                <w:sz w:val="24"/>
                <w:szCs w:val="24"/>
                <w:highlight w:val="none"/>
                <w:lang w:val="en-US" w:eastAsia="zh-CN"/>
              </w:rPr>
              <w:t>供应商须具有合法有效的《医疗机构执业许可证》或《诊所备案凭证》【提供资质证书复印件并加盖公章】</w:t>
            </w:r>
          </w:p>
        </w:tc>
        <w:tc>
          <w:tcPr>
            <w:tcW w:w="1134" w:type="dxa"/>
            <w:vAlign w:val="center"/>
          </w:tcPr>
          <w:p w14:paraId="797F17DE">
            <w:pPr>
              <w:pStyle w:val="44"/>
              <w:rPr>
                <w:rFonts w:hint="eastAsia" w:ascii="宋体" w:hAnsi="宋体" w:eastAsia="宋体" w:cs="宋体"/>
                <w:color w:val="auto"/>
                <w:highlight w:val="none"/>
              </w:rPr>
            </w:pPr>
          </w:p>
        </w:tc>
      </w:tr>
      <w:tr w14:paraId="11453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0" w:type="dxa"/>
            <w:vAlign w:val="center"/>
          </w:tcPr>
          <w:p w14:paraId="3B0629EB">
            <w:pPr>
              <w:pStyle w:val="44"/>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w:t>
            </w:r>
          </w:p>
        </w:tc>
        <w:tc>
          <w:tcPr>
            <w:tcW w:w="1666" w:type="dxa"/>
            <w:vAlign w:val="center"/>
          </w:tcPr>
          <w:p w14:paraId="7682F41C">
            <w:pPr>
              <w:pStyle w:val="44"/>
              <w:rPr>
                <w:rFonts w:hint="eastAsia" w:ascii="宋体" w:hAnsi="宋体" w:eastAsia="宋体" w:cs="宋体"/>
                <w:color w:val="auto"/>
                <w:highlight w:val="none"/>
              </w:rPr>
            </w:pPr>
            <w:r>
              <w:rPr>
                <w:rFonts w:hint="eastAsia" w:ascii="宋体" w:hAnsi="宋体" w:eastAsia="宋体" w:cs="宋体"/>
                <w:color w:val="auto"/>
                <w:highlight w:val="none"/>
              </w:rPr>
              <w:t>企业法人（或主要负责人）授权书/法定代表人身份证</w:t>
            </w:r>
          </w:p>
        </w:tc>
        <w:tc>
          <w:tcPr>
            <w:tcW w:w="5812" w:type="dxa"/>
            <w:vAlign w:val="center"/>
          </w:tcPr>
          <w:p w14:paraId="18DBCAEA">
            <w:pPr>
              <w:pStyle w:val="44"/>
              <w:ind w:firstLine="480" w:firstLineChars="200"/>
              <w:jc w:val="left"/>
              <w:rPr>
                <w:rFonts w:hint="eastAsia" w:ascii="宋体" w:hAnsi="宋体" w:eastAsia="宋体" w:cs="宋体"/>
                <w:color w:val="auto"/>
                <w:highlight w:val="none"/>
              </w:rPr>
            </w:pPr>
            <w:r>
              <w:rPr>
                <w:rFonts w:hint="eastAsia" w:ascii="宋体" w:hAnsi="宋体" w:eastAsia="宋体" w:cs="宋体"/>
                <w:color w:val="auto"/>
                <w:szCs w:val="21"/>
                <w:highlight w:val="none"/>
              </w:rPr>
              <w:t>按比选文件第三章“投标文件格式”的要求和格式填写</w:t>
            </w:r>
          </w:p>
        </w:tc>
        <w:tc>
          <w:tcPr>
            <w:tcW w:w="1134" w:type="dxa"/>
            <w:vAlign w:val="center"/>
          </w:tcPr>
          <w:p w14:paraId="4304267C">
            <w:pPr>
              <w:pStyle w:val="44"/>
              <w:rPr>
                <w:rFonts w:hint="eastAsia" w:ascii="宋体" w:hAnsi="宋体" w:eastAsia="宋体" w:cs="宋体"/>
                <w:color w:val="auto"/>
                <w:highlight w:val="none"/>
              </w:rPr>
            </w:pPr>
          </w:p>
        </w:tc>
      </w:tr>
      <w:tr w14:paraId="64EE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vAlign w:val="center"/>
          </w:tcPr>
          <w:p w14:paraId="2704503C">
            <w:pPr>
              <w:pStyle w:val="44"/>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w:t>
            </w:r>
          </w:p>
        </w:tc>
        <w:tc>
          <w:tcPr>
            <w:tcW w:w="1666" w:type="dxa"/>
            <w:vAlign w:val="center"/>
          </w:tcPr>
          <w:p w14:paraId="6B86DC05">
            <w:pPr>
              <w:pStyle w:val="44"/>
              <w:rPr>
                <w:rFonts w:hint="eastAsia" w:ascii="宋体" w:hAnsi="宋体" w:eastAsia="宋体" w:cs="宋体"/>
                <w:color w:val="auto"/>
                <w:highlight w:val="none"/>
              </w:rPr>
            </w:pPr>
            <w:r>
              <w:rPr>
                <w:rFonts w:hint="eastAsia" w:ascii="宋体" w:hAnsi="宋体" w:eastAsia="宋体" w:cs="宋体"/>
                <w:color w:val="auto"/>
                <w:highlight w:val="none"/>
              </w:rPr>
              <w:t>投标文件组成</w:t>
            </w:r>
          </w:p>
        </w:tc>
        <w:tc>
          <w:tcPr>
            <w:tcW w:w="5812" w:type="dxa"/>
            <w:vAlign w:val="center"/>
          </w:tcPr>
          <w:p w14:paraId="2FB39DEF">
            <w:pPr>
              <w:pStyle w:val="44"/>
              <w:ind w:firstLine="48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符合比选文件第</w:t>
            </w: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rPr>
              <w:t>章比选文件的构成“投标文件的组成”规定要求。</w:t>
            </w:r>
          </w:p>
        </w:tc>
        <w:tc>
          <w:tcPr>
            <w:tcW w:w="1134" w:type="dxa"/>
            <w:vAlign w:val="center"/>
          </w:tcPr>
          <w:p w14:paraId="18BEA5E1">
            <w:pPr>
              <w:pStyle w:val="44"/>
              <w:rPr>
                <w:rFonts w:hint="eastAsia" w:ascii="宋体" w:hAnsi="宋体" w:eastAsia="宋体" w:cs="宋体"/>
                <w:color w:val="auto"/>
                <w:highlight w:val="none"/>
              </w:rPr>
            </w:pPr>
          </w:p>
        </w:tc>
      </w:tr>
      <w:tr w14:paraId="60D7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10" w:type="dxa"/>
            <w:vAlign w:val="center"/>
          </w:tcPr>
          <w:p w14:paraId="296E0378">
            <w:pPr>
              <w:pStyle w:val="44"/>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6</w:t>
            </w:r>
          </w:p>
        </w:tc>
        <w:tc>
          <w:tcPr>
            <w:tcW w:w="1666" w:type="dxa"/>
            <w:vAlign w:val="center"/>
          </w:tcPr>
          <w:p w14:paraId="7C87E89C">
            <w:pPr>
              <w:pStyle w:val="44"/>
              <w:rPr>
                <w:rFonts w:hint="eastAsia" w:ascii="宋体" w:hAnsi="宋体" w:eastAsia="宋体" w:cs="宋体"/>
                <w:color w:val="auto"/>
                <w:highlight w:val="none"/>
              </w:rPr>
            </w:pPr>
            <w:r>
              <w:rPr>
                <w:rFonts w:hint="eastAsia" w:ascii="宋体" w:hAnsi="宋体" w:eastAsia="宋体" w:cs="宋体"/>
                <w:color w:val="auto"/>
                <w:highlight w:val="none"/>
              </w:rPr>
              <w:t>投标文件签字、盖章</w:t>
            </w:r>
          </w:p>
        </w:tc>
        <w:tc>
          <w:tcPr>
            <w:tcW w:w="5812" w:type="dxa"/>
            <w:vAlign w:val="center"/>
          </w:tcPr>
          <w:p w14:paraId="04F39698">
            <w:pPr>
              <w:pStyle w:val="44"/>
              <w:ind w:firstLine="48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均按比选文件第</w:t>
            </w: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rPr>
              <w:t>章要求签字、盖章。</w:t>
            </w:r>
          </w:p>
        </w:tc>
        <w:tc>
          <w:tcPr>
            <w:tcW w:w="1134" w:type="dxa"/>
            <w:vAlign w:val="center"/>
          </w:tcPr>
          <w:p w14:paraId="0FE50AAE">
            <w:pPr>
              <w:pStyle w:val="44"/>
              <w:rPr>
                <w:rFonts w:hint="eastAsia" w:ascii="宋体" w:hAnsi="宋体" w:eastAsia="宋体" w:cs="宋体"/>
                <w:color w:val="auto"/>
                <w:highlight w:val="none"/>
              </w:rPr>
            </w:pPr>
          </w:p>
        </w:tc>
      </w:tr>
    </w:tbl>
    <w:p w14:paraId="1F14E138">
      <w:pPr>
        <w:tabs>
          <w:tab w:val="left" w:pos="851"/>
        </w:tabs>
        <w:spacing w:after="0" w:line="58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注：（1）上述全部符合合格条件的其结论为通过，通过资格审查的投标人才能进入本库，其中任何一项不符合合格条件的其结论为不通过，未通过资格审查的投标人本次不能入库，其投标文件按无效投标文件处理。如果评审小组认为投标人有任意一项不通过的，应在资格性审查报告中载明不通过的具体原因。</w:t>
      </w:r>
    </w:p>
    <w:p w14:paraId="7F10D4AB">
      <w:pPr>
        <w:tabs>
          <w:tab w:val="left" w:pos="851"/>
        </w:tabs>
        <w:spacing w:after="0" w:line="580" w:lineRule="exact"/>
        <w:ind w:firstLine="560" w:firstLineChars="200"/>
        <w:jc w:val="left"/>
        <w:rPr>
          <w:rFonts w:hint="eastAsia" w:ascii="宋体" w:hAnsi="宋体" w:eastAsia="宋体" w:cs="宋体"/>
          <w:color w:val="auto"/>
          <w:sz w:val="24"/>
          <w:highlight w:val="none"/>
        </w:rPr>
      </w:pPr>
      <w:r>
        <w:rPr>
          <w:rFonts w:hint="eastAsia" w:ascii="宋体" w:hAnsi="宋体" w:eastAsia="宋体" w:cs="宋体"/>
          <w:color w:val="auto"/>
          <w:sz w:val="28"/>
          <w:szCs w:val="28"/>
          <w:highlight w:val="none"/>
        </w:rPr>
        <w:t>（2）在本次比选活动中，递交投标文件或通过资格审查投标人不足3家的，本次比选活动失败，另行组织新的比选活动</w:t>
      </w:r>
      <w:bookmarkStart w:id="90" w:name="_Toc217446093"/>
      <w:r>
        <w:rPr>
          <w:rFonts w:hint="eastAsia" w:ascii="宋体" w:hAnsi="宋体" w:eastAsia="宋体" w:cs="宋体"/>
          <w:color w:val="auto"/>
          <w:sz w:val="28"/>
          <w:szCs w:val="28"/>
          <w:highlight w:val="none"/>
        </w:rPr>
        <w:t>。</w:t>
      </w:r>
      <w:bookmarkEnd w:id="18"/>
      <w:bookmarkEnd w:id="90"/>
    </w:p>
    <w:sectPr>
      <w:pgSz w:w="11906" w:h="16838"/>
      <w:pgMar w:top="1440" w:right="1803" w:bottom="1440" w:left="1803" w:header="851" w:footer="992" w:gutter="0"/>
      <w:cols w:space="720" w:num="1"/>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embedRegular r:id="rId1" w:fontKey="{637ECF39-704F-4E5B-8EFB-735574318117}"/>
  </w:font>
  <w:font w:name="宋体">
    <w:panose1 w:val="02010600030101010101"/>
    <w:charset w:val="7A"/>
    <w:family w:val="auto"/>
    <w:pitch w:val="default"/>
    <w:sig w:usb0="00000003" w:usb1="288F0000" w:usb2="00000006" w:usb3="00000000" w:csb0="00040001" w:csb1="00000000"/>
    <w:embedRegular r:id="rId2" w:fontKey="{99798021-AF90-400A-999F-578D8A4DAEF5}"/>
  </w:font>
  <w:font w:name="Wingdings">
    <w:panose1 w:val="05000000000000000000"/>
    <w:charset w:val="02"/>
    <w:family w:val="auto"/>
    <w:pitch w:val="default"/>
    <w:sig w:usb0="00000000" w:usb1="00000000" w:usb2="00000000" w:usb3="00000000" w:csb0="80000000" w:csb1="00000000"/>
    <w:embedRegular r:id="rId3" w:fontKey="{982DBDA0-E5A9-49B0-A83D-065A2812FCC1}"/>
  </w:font>
  <w:font w:name="Arial">
    <w:panose1 w:val="020B0604020202020204"/>
    <w:charset w:val="01"/>
    <w:family w:val="swiss"/>
    <w:pitch w:val="default"/>
    <w:sig w:usb0="E0002EFF" w:usb1="C000785B" w:usb2="00000009" w:usb3="00000000" w:csb0="400001FF" w:csb1="FFFF0000"/>
    <w:embedRegular r:id="rId4" w:fontKey="{A00C4EF4-7A9A-4B59-99A3-0EB09B535FC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6708D618-7C8F-4D08-8DA5-E1C1093BE499}"/>
  </w:font>
  <w:font w:name="Symbol">
    <w:panose1 w:val="05050102010706020507"/>
    <w:charset w:val="02"/>
    <w:family w:val="roman"/>
    <w:pitch w:val="default"/>
    <w:sig w:usb0="00000000" w:usb1="00000000" w:usb2="00000000" w:usb3="00000000" w:csb0="80000000" w:csb1="00000000"/>
    <w:embedRegular r:id="rId6" w:fontKey="{0C7B26BF-9E31-4911-94BE-7DEB48BC5355}"/>
  </w:font>
  <w:font w:name="Calibri">
    <w:panose1 w:val="020F0502020204030204"/>
    <w:charset w:val="00"/>
    <w:family w:val="swiss"/>
    <w:pitch w:val="default"/>
    <w:sig w:usb0="E4002EFF" w:usb1="C000247B" w:usb2="00000009" w:usb3="00000000" w:csb0="200001FF" w:csb1="00000000"/>
    <w:embedRegular r:id="rId7" w:fontKey="{D9173A2C-CD80-48F0-B72A-FC204C185250}"/>
  </w:font>
  <w:font w:name="仿宋">
    <w:panose1 w:val="02010609060101010101"/>
    <w:charset w:val="86"/>
    <w:family w:val="auto"/>
    <w:pitch w:val="default"/>
    <w:sig w:usb0="800002BF" w:usb1="38CF7CFA" w:usb2="00000016" w:usb3="00000000" w:csb0="00040001" w:csb1="00000000"/>
  </w:font>
  <w:font w:name="Arail">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8" w:fontKey="{C7172ABC-EF9F-4BEF-B800-4BFED5BE1057}"/>
  </w:font>
  <w:font w:name="WPSEMBED1">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1CE02">
    <w:pPr>
      <w:pStyle w:val="19"/>
      <w:framePr w:wrap="around" w:vAnchor="text" w:hAnchor="margin" w:xAlign="center" w:y="1"/>
      <w:jc w:val="center"/>
      <w:rPr>
        <w:rStyle w:val="35"/>
      </w:rPr>
    </w:pPr>
    <w:r>
      <w:fldChar w:fldCharType="begin"/>
    </w:r>
    <w:r>
      <w:rPr>
        <w:rStyle w:val="35"/>
      </w:rPr>
      <w:instrText xml:space="preserve">PAGE  </w:instrText>
    </w:r>
    <w:r>
      <w:fldChar w:fldCharType="separate"/>
    </w:r>
    <w:r>
      <w:rPr>
        <w:rStyle w:val="35"/>
      </w:rPr>
      <w:t>2</w:t>
    </w:r>
    <w:r>
      <w:fldChar w:fldCharType="end"/>
    </w:r>
  </w:p>
  <w:p w14:paraId="131902B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6B2E">
    <w:pPr>
      <w:pStyle w:val="19"/>
      <w:framePr w:wrap="around" w:vAnchor="text" w:hAnchor="margin" w:xAlign="center" w:y="1"/>
      <w:rPr>
        <w:rStyle w:val="35"/>
      </w:rPr>
    </w:pPr>
    <w:r>
      <w:fldChar w:fldCharType="begin"/>
    </w:r>
    <w:r>
      <w:rPr>
        <w:rStyle w:val="35"/>
      </w:rPr>
      <w:instrText xml:space="preserve">PAGE  </w:instrText>
    </w:r>
    <w:r>
      <w:fldChar w:fldCharType="separate"/>
    </w:r>
    <w:r>
      <w:rPr>
        <w:rStyle w:val="35"/>
      </w:rPr>
      <w:t>44</w:t>
    </w:r>
    <w:r>
      <w:fldChar w:fldCharType="end"/>
    </w:r>
  </w:p>
  <w:p w14:paraId="1F398A1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79353">
    <w:pPr>
      <w:pStyle w:val="19"/>
      <w:framePr w:wrap="around" w:vAnchor="text" w:hAnchor="margin" w:xAlign="center" w:y="1"/>
      <w:rPr>
        <w:rStyle w:val="35"/>
      </w:rPr>
    </w:pPr>
    <w:r>
      <w:fldChar w:fldCharType="begin"/>
    </w:r>
    <w:r>
      <w:rPr>
        <w:rStyle w:val="35"/>
      </w:rPr>
      <w:instrText xml:space="preserve">PAGE  </w:instrText>
    </w:r>
    <w:r>
      <w:fldChar w:fldCharType="separate"/>
    </w:r>
    <w:r>
      <w:rPr>
        <w:rStyle w:val="35"/>
      </w:rPr>
      <w:t>44</w:t>
    </w:r>
    <w:r>
      <w:fldChar w:fldCharType="end"/>
    </w:r>
  </w:p>
  <w:p w14:paraId="1F3BAC0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DD455">
    <w:pPr>
      <w:pStyle w:val="19"/>
      <w:framePr w:wrap="around" w:vAnchor="text" w:hAnchor="margin" w:xAlign="center" w:y="1"/>
      <w:rPr>
        <w:rStyle w:val="35"/>
      </w:rPr>
    </w:pPr>
    <w:r>
      <w:fldChar w:fldCharType="begin"/>
    </w:r>
    <w:r>
      <w:rPr>
        <w:rStyle w:val="35"/>
      </w:rPr>
      <w:instrText xml:space="preserve">PAGE  </w:instrText>
    </w:r>
    <w:r>
      <w:fldChar w:fldCharType="separate"/>
    </w:r>
    <w:r>
      <w:rPr>
        <w:rStyle w:val="35"/>
      </w:rPr>
      <w:t>56</w:t>
    </w:r>
    <w:r>
      <w:fldChar w:fldCharType="end"/>
    </w:r>
  </w:p>
  <w:p w14:paraId="1147B193">
    <w:pPr>
      <w:pStyle w:val="19"/>
      <w:ind w:right="360"/>
    </w:pPr>
  </w:p>
  <w:p w14:paraId="06740F13"/>
  <w:p w14:paraId="2D7307FF"/>
  <w:p w14:paraId="31068F0A"/>
  <w:p w14:paraId="63AA3E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4DA73">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6D2C1">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9F162"/>
    <w:multiLevelType w:val="singleLevel"/>
    <w:tmpl w:val="8A09F162"/>
    <w:lvl w:ilvl="0" w:tentative="0">
      <w:start w:val="1"/>
      <w:numFmt w:val="decimal"/>
      <w:lvlText w:val="%1."/>
      <w:lvlJc w:val="left"/>
      <w:pPr>
        <w:tabs>
          <w:tab w:val="left" w:pos="312"/>
        </w:tabs>
      </w:pPr>
    </w:lvl>
  </w:abstractNum>
  <w:abstractNum w:abstractNumId="1">
    <w:nsid w:val="8B5C1A06"/>
    <w:multiLevelType w:val="singleLevel"/>
    <w:tmpl w:val="8B5C1A06"/>
    <w:lvl w:ilvl="0" w:tentative="0">
      <w:start w:val="1"/>
      <w:numFmt w:val="decimal"/>
      <w:suff w:val="space"/>
      <w:lvlText w:val="%1."/>
      <w:lvlJc w:val="left"/>
    </w:lvl>
  </w:abstractNum>
  <w:abstractNum w:abstractNumId="2">
    <w:nsid w:val="92112F54"/>
    <w:multiLevelType w:val="singleLevel"/>
    <w:tmpl w:val="92112F54"/>
    <w:lvl w:ilvl="0" w:tentative="0">
      <w:start w:val="2"/>
      <w:numFmt w:val="decimal"/>
      <w:suff w:val="nothing"/>
      <w:lvlText w:val="（%1）"/>
      <w:lvlJc w:val="left"/>
    </w:lvl>
  </w:abstractNum>
  <w:abstractNum w:abstractNumId="3">
    <w:nsid w:val="C0EC6403"/>
    <w:multiLevelType w:val="singleLevel"/>
    <w:tmpl w:val="C0EC6403"/>
    <w:lvl w:ilvl="0" w:tentative="0">
      <w:start w:val="1"/>
      <w:numFmt w:val="decimal"/>
      <w:suff w:val="space"/>
      <w:lvlText w:val="%1."/>
      <w:lvlJc w:val="left"/>
    </w:lvl>
  </w:abstractNum>
  <w:abstractNum w:abstractNumId="4">
    <w:nsid w:val="C2C859E8"/>
    <w:multiLevelType w:val="singleLevel"/>
    <w:tmpl w:val="C2C859E8"/>
    <w:lvl w:ilvl="0" w:tentative="0">
      <w:start w:val="1"/>
      <w:numFmt w:val="decimal"/>
      <w:suff w:val="space"/>
      <w:lvlText w:val="%1."/>
      <w:lvlJc w:val="left"/>
    </w:lvl>
  </w:abstractNum>
  <w:abstractNum w:abstractNumId="5">
    <w:nsid w:val="CF987C85"/>
    <w:multiLevelType w:val="singleLevel"/>
    <w:tmpl w:val="CF987C85"/>
    <w:lvl w:ilvl="0" w:tentative="0">
      <w:start w:val="1"/>
      <w:numFmt w:val="decimal"/>
      <w:suff w:val="space"/>
      <w:lvlText w:val="%1."/>
      <w:lvlJc w:val="left"/>
    </w:lvl>
  </w:abstractNum>
  <w:abstractNum w:abstractNumId="6">
    <w:nsid w:val="EA443230"/>
    <w:multiLevelType w:val="singleLevel"/>
    <w:tmpl w:val="EA443230"/>
    <w:lvl w:ilvl="0" w:tentative="0">
      <w:start w:val="1"/>
      <w:numFmt w:val="chineseCounting"/>
      <w:suff w:val="nothing"/>
      <w:lvlText w:val="%1、"/>
      <w:lvlJc w:val="left"/>
      <w:rPr>
        <w:rFonts w:hint="eastAsia"/>
      </w:rPr>
    </w:lvl>
  </w:abstractNum>
  <w:abstractNum w:abstractNumId="7">
    <w:nsid w:val="0000000A"/>
    <w:multiLevelType w:val="singleLevel"/>
    <w:tmpl w:val="0000000A"/>
    <w:lvl w:ilvl="0" w:tentative="0">
      <w:start w:val="1"/>
      <w:numFmt w:val="chineseCounting"/>
      <w:suff w:val="nothing"/>
      <w:lvlText w:val="%1、"/>
      <w:lvlJc w:val="left"/>
    </w:lvl>
  </w:abstractNum>
  <w:abstractNum w:abstractNumId="8">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9">
    <w:nsid w:val="587D89C6"/>
    <w:multiLevelType w:val="singleLevel"/>
    <w:tmpl w:val="587D89C6"/>
    <w:lvl w:ilvl="0" w:tentative="0">
      <w:start w:val="1"/>
      <w:numFmt w:val="decimal"/>
      <w:suff w:val="nothing"/>
      <w:lvlText w:val="%1、"/>
      <w:lvlJc w:val="left"/>
    </w:lvl>
  </w:abstractNum>
  <w:abstractNum w:abstractNumId="10">
    <w:nsid w:val="6AA12C86"/>
    <w:multiLevelType w:val="singleLevel"/>
    <w:tmpl w:val="6AA12C86"/>
    <w:lvl w:ilvl="0" w:tentative="0">
      <w:start w:val="3"/>
      <w:numFmt w:val="chineseCounting"/>
      <w:suff w:val="nothing"/>
      <w:lvlText w:val="%1、"/>
      <w:lvlJc w:val="left"/>
      <w:rPr>
        <w:rFonts w:hint="eastAsia"/>
      </w:rPr>
    </w:lvl>
  </w:abstractNum>
  <w:num w:numId="1">
    <w:abstractNumId w:val="8"/>
  </w:num>
  <w:num w:numId="2">
    <w:abstractNumId w:val="9"/>
  </w:num>
  <w:num w:numId="3">
    <w:abstractNumId w:val="6"/>
  </w:num>
  <w:num w:numId="4">
    <w:abstractNumId w:val="1"/>
  </w:num>
  <w:num w:numId="5">
    <w:abstractNumId w:val="4"/>
  </w:num>
  <w:num w:numId="6">
    <w:abstractNumId w:val="2"/>
  </w:num>
  <w:num w:numId="7">
    <w:abstractNumId w:val="5"/>
  </w:num>
  <w:num w:numId="8">
    <w:abstractNumId w:val="3"/>
  </w:num>
  <w:num w:numId="9">
    <w:abstractNumId w:val="7"/>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wZWI2NjViNWVlN2FmYjllN2Y3YWY5MzE0MmM4NmIifQ=="/>
  </w:docVars>
  <w:rsids>
    <w:rsidRoot w:val="00172A27"/>
    <w:rsid w:val="00000B84"/>
    <w:rsid w:val="00001FF3"/>
    <w:rsid w:val="00005DD3"/>
    <w:rsid w:val="00012558"/>
    <w:rsid w:val="00012AD0"/>
    <w:rsid w:val="00013ADD"/>
    <w:rsid w:val="00020073"/>
    <w:rsid w:val="00020B5C"/>
    <w:rsid w:val="00021308"/>
    <w:rsid w:val="00023159"/>
    <w:rsid w:val="000236CB"/>
    <w:rsid w:val="000253C4"/>
    <w:rsid w:val="0003159C"/>
    <w:rsid w:val="0003174E"/>
    <w:rsid w:val="00036333"/>
    <w:rsid w:val="0003636B"/>
    <w:rsid w:val="00036EEF"/>
    <w:rsid w:val="0003748E"/>
    <w:rsid w:val="000410FE"/>
    <w:rsid w:val="000504B2"/>
    <w:rsid w:val="00055800"/>
    <w:rsid w:val="00055D37"/>
    <w:rsid w:val="000608CE"/>
    <w:rsid w:val="0006208C"/>
    <w:rsid w:val="00064D82"/>
    <w:rsid w:val="00072C34"/>
    <w:rsid w:val="00074F3A"/>
    <w:rsid w:val="00080C10"/>
    <w:rsid w:val="00082566"/>
    <w:rsid w:val="00082BFC"/>
    <w:rsid w:val="00083635"/>
    <w:rsid w:val="00084443"/>
    <w:rsid w:val="00084ED2"/>
    <w:rsid w:val="000855D8"/>
    <w:rsid w:val="000900C7"/>
    <w:rsid w:val="000905CB"/>
    <w:rsid w:val="00094182"/>
    <w:rsid w:val="00094EEB"/>
    <w:rsid w:val="000962CE"/>
    <w:rsid w:val="000964BE"/>
    <w:rsid w:val="00097BFF"/>
    <w:rsid w:val="000A00C6"/>
    <w:rsid w:val="000A138A"/>
    <w:rsid w:val="000A1718"/>
    <w:rsid w:val="000A246A"/>
    <w:rsid w:val="000A5A72"/>
    <w:rsid w:val="000A6E82"/>
    <w:rsid w:val="000A70F2"/>
    <w:rsid w:val="000B20FB"/>
    <w:rsid w:val="000B4487"/>
    <w:rsid w:val="000B53E5"/>
    <w:rsid w:val="000B6353"/>
    <w:rsid w:val="000B6577"/>
    <w:rsid w:val="000B7DAF"/>
    <w:rsid w:val="000C0B5D"/>
    <w:rsid w:val="000C209D"/>
    <w:rsid w:val="000C297C"/>
    <w:rsid w:val="000C3EA5"/>
    <w:rsid w:val="000C5E75"/>
    <w:rsid w:val="000C6FE5"/>
    <w:rsid w:val="000D22E0"/>
    <w:rsid w:val="000D611D"/>
    <w:rsid w:val="000D717B"/>
    <w:rsid w:val="000E21F8"/>
    <w:rsid w:val="000E365B"/>
    <w:rsid w:val="000E4497"/>
    <w:rsid w:val="000F2BED"/>
    <w:rsid w:val="000F3201"/>
    <w:rsid w:val="000F3DFD"/>
    <w:rsid w:val="000F5A10"/>
    <w:rsid w:val="000F6EC0"/>
    <w:rsid w:val="000F789C"/>
    <w:rsid w:val="00100C00"/>
    <w:rsid w:val="00100E92"/>
    <w:rsid w:val="00101CB3"/>
    <w:rsid w:val="00101EDC"/>
    <w:rsid w:val="00101FA6"/>
    <w:rsid w:val="00103B64"/>
    <w:rsid w:val="00104043"/>
    <w:rsid w:val="00106212"/>
    <w:rsid w:val="001068FD"/>
    <w:rsid w:val="00106D7C"/>
    <w:rsid w:val="00110BF8"/>
    <w:rsid w:val="00114138"/>
    <w:rsid w:val="00120F20"/>
    <w:rsid w:val="00123661"/>
    <w:rsid w:val="001300AD"/>
    <w:rsid w:val="001324D0"/>
    <w:rsid w:val="00132EA0"/>
    <w:rsid w:val="00133160"/>
    <w:rsid w:val="00135845"/>
    <w:rsid w:val="00140FF8"/>
    <w:rsid w:val="00141408"/>
    <w:rsid w:val="001428A0"/>
    <w:rsid w:val="001442A1"/>
    <w:rsid w:val="0014551A"/>
    <w:rsid w:val="00151E37"/>
    <w:rsid w:val="00152916"/>
    <w:rsid w:val="00155AAC"/>
    <w:rsid w:val="001619E7"/>
    <w:rsid w:val="001669D4"/>
    <w:rsid w:val="00170AEA"/>
    <w:rsid w:val="0017111E"/>
    <w:rsid w:val="001724F8"/>
    <w:rsid w:val="00172A27"/>
    <w:rsid w:val="001833F5"/>
    <w:rsid w:val="00186113"/>
    <w:rsid w:val="00196072"/>
    <w:rsid w:val="001976B7"/>
    <w:rsid w:val="001A34F3"/>
    <w:rsid w:val="001A5C03"/>
    <w:rsid w:val="001A6131"/>
    <w:rsid w:val="001A69CA"/>
    <w:rsid w:val="001B1735"/>
    <w:rsid w:val="001B3A7B"/>
    <w:rsid w:val="001B4294"/>
    <w:rsid w:val="001B597F"/>
    <w:rsid w:val="001B6171"/>
    <w:rsid w:val="001B738B"/>
    <w:rsid w:val="001C03A0"/>
    <w:rsid w:val="001C2181"/>
    <w:rsid w:val="001C6ECA"/>
    <w:rsid w:val="001D01D8"/>
    <w:rsid w:val="001D4B25"/>
    <w:rsid w:val="001D4B8D"/>
    <w:rsid w:val="001E1A2A"/>
    <w:rsid w:val="001E1ED1"/>
    <w:rsid w:val="001E3FFA"/>
    <w:rsid w:val="001E7DDD"/>
    <w:rsid w:val="001F1371"/>
    <w:rsid w:val="0020158B"/>
    <w:rsid w:val="00204A0D"/>
    <w:rsid w:val="00210C70"/>
    <w:rsid w:val="00210EAA"/>
    <w:rsid w:val="002120E1"/>
    <w:rsid w:val="002129B6"/>
    <w:rsid w:val="002129C1"/>
    <w:rsid w:val="00213C76"/>
    <w:rsid w:val="00213E1D"/>
    <w:rsid w:val="0021737C"/>
    <w:rsid w:val="002219F1"/>
    <w:rsid w:val="00223F63"/>
    <w:rsid w:val="0023234A"/>
    <w:rsid w:val="002351A5"/>
    <w:rsid w:val="002400FF"/>
    <w:rsid w:val="00243F3F"/>
    <w:rsid w:val="00245839"/>
    <w:rsid w:val="0025521E"/>
    <w:rsid w:val="002575B3"/>
    <w:rsid w:val="002615B1"/>
    <w:rsid w:val="00261B14"/>
    <w:rsid w:val="002636ED"/>
    <w:rsid w:val="002660E0"/>
    <w:rsid w:val="002678E1"/>
    <w:rsid w:val="00267D57"/>
    <w:rsid w:val="002703ED"/>
    <w:rsid w:val="002729EC"/>
    <w:rsid w:val="00285CF5"/>
    <w:rsid w:val="00286A2D"/>
    <w:rsid w:val="0029225C"/>
    <w:rsid w:val="00292ABF"/>
    <w:rsid w:val="00293AE7"/>
    <w:rsid w:val="002A44C8"/>
    <w:rsid w:val="002B18B3"/>
    <w:rsid w:val="002B2897"/>
    <w:rsid w:val="002B3F90"/>
    <w:rsid w:val="002B5934"/>
    <w:rsid w:val="002B6198"/>
    <w:rsid w:val="002B734E"/>
    <w:rsid w:val="002C1197"/>
    <w:rsid w:val="002C62B8"/>
    <w:rsid w:val="002C7CE4"/>
    <w:rsid w:val="002D12EA"/>
    <w:rsid w:val="002D2655"/>
    <w:rsid w:val="002D6171"/>
    <w:rsid w:val="002E1022"/>
    <w:rsid w:val="002E6277"/>
    <w:rsid w:val="002E7648"/>
    <w:rsid w:val="002F1AAA"/>
    <w:rsid w:val="002F2C9B"/>
    <w:rsid w:val="002F4197"/>
    <w:rsid w:val="002F56EB"/>
    <w:rsid w:val="002F5B9B"/>
    <w:rsid w:val="002F7E1D"/>
    <w:rsid w:val="00301AC0"/>
    <w:rsid w:val="003027FF"/>
    <w:rsid w:val="00303552"/>
    <w:rsid w:val="00303E08"/>
    <w:rsid w:val="00311DBA"/>
    <w:rsid w:val="00314A71"/>
    <w:rsid w:val="0031619E"/>
    <w:rsid w:val="0032007D"/>
    <w:rsid w:val="0032103B"/>
    <w:rsid w:val="00321E54"/>
    <w:rsid w:val="003228F7"/>
    <w:rsid w:val="0032547E"/>
    <w:rsid w:val="0033082A"/>
    <w:rsid w:val="0033181B"/>
    <w:rsid w:val="00333F3C"/>
    <w:rsid w:val="00336BBD"/>
    <w:rsid w:val="00336DC7"/>
    <w:rsid w:val="00340DA5"/>
    <w:rsid w:val="0034212B"/>
    <w:rsid w:val="003523E4"/>
    <w:rsid w:val="00353219"/>
    <w:rsid w:val="00355A1B"/>
    <w:rsid w:val="00357684"/>
    <w:rsid w:val="00360451"/>
    <w:rsid w:val="00363398"/>
    <w:rsid w:val="003643D6"/>
    <w:rsid w:val="00364F2C"/>
    <w:rsid w:val="003651A1"/>
    <w:rsid w:val="00370802"/>
    <w:rsid w:val="003738E0"/>
    <w:rsid w:val="00374D58"/>
    <w:rsid w:val="003752AC"/>
    <w:rsid w:val="00377400"/>
    <w:rsid w:val="0038006F"/>
    <w:rsid w:val="0038072A"/>
    <w:rsid w:val="00381DA3"/>
    <w:rsid w:val="00387461"/>
    <w:rsid w:val="003A0382"/>
    <w:rsid w:val="003A1953"/>
    <w:rsid w:val="003A377C"/>
    <w:rsid w:val="003A4CEA"/>
    <w:rsid w:val="003A512C"/>
    <w:rsid w:val="003A5492"/>
    <w:rsid w:val="003A5725"/>
    <w:rsid w:val="003A5AF7"/>
    <w:rsid w:val="003B2DCF"/>
    <w:rsid w:val="003B4032"/>
    <w:rsid w:val="003B6D35"/>
    <w:rsid w:val="003B6EF3"/>
    <w:rsid w:val="003C05BE"/>
    <w:rsid w:val="003C2287"/>
    <w:rsid w:val="003C6641"/>
    <w:rsid w:val="003D13C3"/>
    <w:rsid w:val="003D28FB"/>
    <w:rsid w:val="003D6FDB"/>
    <w:rsid w:val="003E1ABC"/>
    <w:rsid w:val="003E207C"/>
    <w:rsid w:val="003E77F8"/>
    <w:rsid w:val="003E7E7A"/>
    <w:rsid w:val="003F0AB3"/>
    <w:rsid w:val="003F353C"/>
    <w:rsid w:val="003F5469"/>
    <w:rsid w:val="003F5BCC"/>
    <w:rsid w:val="003F7FF5"/>
    <w:rsid w:val="0040056A"/>
    <w:rsid w:val="00400DA8"/>
    <w:rsid w:val="00401BB9"/>
    <w:rsid w:val="00403ABE"/>
    <w:rsid w:val="004049E5"/>
    <w:rsid w:val="00404A61"/>
    <w:rsid w:val="00406398"/>
    <w:rsid w:val="0040752F"/>
    <w:rsid w:val="00410564"/>
    <w:rsid w:val="0041137A"/>
    <w:rsid w:val="00412BD8"/>
    <w:rsid w:val="00414226"/>
    <w:rsid w:val="00414296"/>
    <w:rsid w:val="0041526D"/>
    <w:rsid w:val="00417A45"/>
    <w:rsid w:val="00422803"/>
    <w:rsid w:val="00423F0D"/>
    <w:rsid w:val="00437FD9"/>
    <w:rsid w:val="00440990"/>
    <w:rsid w:val="00441288"/>
    <w:rsid w:val="004435AC"/>
    <w:rsid w:val="00445E84"/>
    <w:rsid w:val="00447D55"/>
    <w:rsid w:val="00450099"/>
    <w:rsid w:val="0045072B"/>
    <w:rsid w:val="00452FD6"/>
    <w:rsid w:val="00455527"/>
    <w:rsid w:val="00460537"/>
    <w:rsid w:val="004647C2"/>
    <w:rsid w:val="00465D6A"/>
    <w:rsid w:val="004669AB"/>
    <w:rsid w:val="004723AF"/>
    <w:rsid w:val="00474312"/>
    <w:rsid w:val="00475D4E"/>
    <w:rsid w:val="00476799"/>
    <w:rsid w:val="0047730B"/>
    <w:rsid w:val="00480C72"/>
    <w:rsid w:val="00482AE7"/>
    <w:rsid w:val="00482EF1"/>
    <w:rsid w:val="00484574"/>
    <w:rsid w:val="00484FBD"/>
    <w:rsid w:val="004938AE"/>
    <w:rsid w:val="004941BE"/>
    <w:rsid w:val="00494724"/>
    <w:rsid w:val="004961BE"/>
    <w:rsid w:val="004A0428"/>
    <w:rsid w:val="004A251B"/>
    <w:rsid w:val="004A2E37"/>
    <w:rsid w:val="004A37DE"/>
    <w:rsid w:val="004A3B7B"/>
    <w:rsid w:val="004A7B88"/>
    <w:rsid w:val="004B0037"/>
    <w:rsid w:val="004C2381"/>
    <w:rsid w:val="004D104E"/>
    <w:rsid w:val="004D1906"/>
    <w:rsid w:val="004D4FDE"/>
    <w:rsid w:val="004D6897"/>
    <w:rsid w:val="004D6F96"/>
    <w:rsid w:val="004E5C0A"/>
    <w:rsid w:val="004F18F5"/>
    <w:rsid w:val="004F31D4"/>
    <w:rsid w:val="004F7496"/>
    <w:rsid w:val="00503663"/>
    <w:rsid w:val="00505760"/>
    <w:rsid w:val="005071F4"/>
    <w:rsid w:val="00507E56"/>
    <w:rsid w:val="00510EEA"/>
    <w:rsid w:val="0051517B"/>
    <w:rsid w:val="00515257"/>
    <w:rsid w:val="00517396"/>
    <w:rsid w:val="00521311"/>
    <w:rsid w:val="00521D6A"/>
    <w:rsid w:val="00522DAA"/>
    <w:rsid w:val="00523645"/>
    <w:rsid w:val="00524EDE"/>
    <w:rsid w:val="00530889"/>
    <w:rsid w:val="00540BAB"/>
    <w:rsid w:val="00545D63"/>
    <w:rsid w:val="005466C2"/>
    <w:rsid w:val="00547629"/>
    <w:rsid w:val="005504CC"/>
    <w:rsid w:val="00550AED"/>
    <w:rsid w:val="005548CD"/>
    <w:rsid w:val="005559E1"/>
    <w:rsid w:val="0056283F"/>
    <w:rsid w:val="00563B72"/>
    <w:rsid w:val="005662BB"/>
    <w:rsid w:val="00571743"/>
    <w:rsid w:val="005717CE"/>
    <w:rsid w:val="005772D0"/>
    <w:rsid w:val="005835F9"/>
    <w:rsid w:val="00584514"/>
    <w:rsid w:val="00591D59"/>
    <w:rsid w:val="00592FA0"/>
    <w:rsid w:val="0059525C"/>
    <w:rsid w:val="00595997"/>
    <w:rsid w:val="005A0EF9"/>
    <w:rsid w:val="005A1F1D"/>
    <w:rsid w:val="005A2F42"/>
    <w:rsid w:val="005A3B30"/>
    <w:rsid w:val="005B182F"/>
    <w:rsid w:val="005B1B85"/>
    <w:rsid w:val="005B3A8D"/>
    <w:rsid w:val="005B413D"/>
    <w:rsid w:val="005B5D4D"/>
    <w:rsid w:val="005C29DA"/>
    <w:rsid w:val="005C3E99"/>
    <w:rsid w:val="005C5E35"/>
    <w:rsid w:val="005C5F85"/>
    <w:rsid w:val="005C7119"/>
    <w:rsid w:val="005C7CD0"/>
    <w:rsid w:val="005D19C9"/>
    <w:rsid w:val="005D1E46"/>
    <w:rsid w:val="005D4480"/>
    <w:rsid w:val="005D4FD3"/>
    <w:rsid w:val="005D67AE"/>
    <w:rsid w:val="005D740D"/>
    <w:rsid w:val="005D7984"/>
    <w:rsid w:val="005E2C23"/>
    <w:rsid w:val="005E38FD"/>
    <w:rsid w:val="005E3C6A"/>
    <w:rsid w:val="005E4968"/>
    <w:rsid w:val="005E732D"/>
    <w:rsid w:val="005E7B05"/>
    <w:rsid w:val="005F019E"/>
    <w:rsid w:val="005F21CA"/>
    <w:rsid w:val="005F5D17"/>
    <w:rsid w:val="006026E5"/>
    <w:rsid w:val="00602FBF"/>
    <w:rsid w:val="006036F2"/>
    <w:rsid w:val="006044C7"/>
    <w:rsid w:val="006044E3"/>
    <w:rsid w:val="00605172"/>
    <w:rsid w:val="006054ED"/>
    <w:rsid w:val="00612C28"/>
    <w:rsid w:val="006200BC"/>
    <w:rsid w:val="00620709"/>
    <w:rsid w:val="00621179"/>
    <w:rsid w:val="00622A80"/>
    <w:rsid w:val="006243C6"/>
    <w:rsid w:val="00626271"/>
    <w:rsid w:val="006263F2"/>
    <w:rsid w:val="006271A4"/>
    <w:rsid w:val="00627F0F"/>
    <w:rsid w:val="006317A4"/>
    <w:rsid w:val="00635EF8"/>
    <w:rsid w:val="00646C87"/>
    <w:rsid w:val="006510A0"/>
    <w:rsid w:val="006512AC"/>
    <w:rsid w:val="00652B7F"/>
    <w:rsid w:val="00654FE2"/>
    <w:rsid w:val="006623B5"/>
    <w:rsid w:val="00662E2F"/>
    <w:rsid w:val="006654EF"/>
    <w:rsid w:val="00671095"/>
    <w:rsid w:val="00672748"/>
    <w:rsid w:val="00672878"/>
    <w:rsid w:val="00672A41"/>
    <w:rsid w:val="0067387B"/>
    <w:rsid w:val="006746C8"/>
    <w:rsid w:val="00676C2F"/>
    <w:rsid w:val="00677113"/>
    <w:rsid w:val="00681856"/>
    <w:rsid w:val="00683A41"/>
    <w:rsid w:val="00683D89"/>
    <w:rsid w:val="006847CF"/>
    <w:rsid w:val="006853DD"/>
    <w:rsid w:val="00686CE8"/>
    <w:rsid w:val="00687922"/>
    <w:rsid w:val="00692377"/>
    <w:rsid w:val="00692F99"/>
    <w:rsid w:val="006A1067"/>
    <w:rsid w:val="006A5C53"/>
    <w:rsid w:val="006B446A"/>
    <w:rsid w:val="006C0888"/>
    <w:rsid w:val="006C1E5C"/>
    <w:rsid w:val="006C287B"/>
    <w:rsid w:val="006D3B9E"/>
    <w:rsid w:val="006D5B77"/>
    <w:rsid w:val="006D68EE"/>
    <w:rsid w:val="006D7256"/>
    <w:rsid w:val="006E0AC8"/>
    <w:rsid w:val="006E284F"/>
    <w:rsid w:val="006F1390"/>
    <w:rsid w:val="006F1ACB"/>
    <w:rsid w:val="006F2FC8"/>
    <w:rsid w:val="006F518F"/>
    <w:rsid w:val="006F670E"/>
    <w:rsid w:val="006F7719"/>
    <w:rsid w:val="00700528"/>
    <w:rsid w:val="007014F1"/>
    <w:rsid w:val="00701847"/>
    <w:rsid w:val="00707412"/>
    <w:rsid w:val="0071016D"/>
    <w:rsid w:val="00712E8B"/>
    <w:rsid w:val="00713D0E"/>
    <w:rsid w:val="00714DC2"/>
    <w:rsid w:val="00721C89"/>
    <w:rsid w:val="00721E59"/>
    <w:rsid w:val="0072289E"/>
    <w:rsid w:val="00722A7C"/>
    <w:rsid w:val="007244E6"/>
    <w:rsid w:val="00727576"/>
    <w:rsid w:val="00732FA4"/>
    <w:rsid w:val="00737D7E"/>
    <w:rsid w:val="00741DC1"/>
    <w:rsid w:val="00742C56"/>
    <w:rsid w:val="007454D0"/>
    <w:rsid w:val="00751AA4"/>
    <w:rsid w:val="00752227"/>
    <w:rsid w:val="0076081B"/>
    <w:rsid w:val="00761BF0"/>
    <w:rsid w:val="00765E2E"/>
    <w:rsid w:val="0077070A"/>
    <w:rsid w:val="007710FF"/>
    <w:rsid w:val="007739BB"/>
    <w:rsid w:val="007748E4"/>
    <w:rsid w:val="007800D1"/>
    <w:rsid w:val="00780725"/>
    <w:rsid w:val="0078083A"/>
    <w:rsid w:val="00785078"/>
    <w:rsid w:val="00791C59"/>
    <w:rsid w:val="007A06CA"/>
    <w:rsid w:val="007A21C4"/>
    <w:rsid w:val="007A5395"/>
    <w:rsid w:val="007A683D"/>
    <w:rsid w:val="007A6B90"/>
    <w:rsid w:val="007B2AB3"/>
    <w:rsid w:val="007B5101"/>
    <w:rsid w:val="007C0117"/>
    <w:rsid w:val="007C0E57"/>
    <w:rsid w:val="007C158E"/>
    <w:rsid w:val="007C2E13"/>
    <w:rsid w:val="007C4463"/>
    <w:rsid w:val="007C6A9A"/>
    <w:rsid w:val="007C7975"/>
    <w:rsid w:val="007C7D30"/>
    <w:rsid w:val="007D0BAC"/>
    <w:rsid w:val="007D0EDC"/>
    <w:rsid w:val="007D1567"/>
    <w:rsid w:val="007D271E"/>
    <w:rsid w:val="007D60B4"/>
    <w:rsid w:val="007E1146"/>
    <w:rsid w:val="007E6497"/>
    <w:rsid w:val="007F0326"/>
    <w:rsid w:val="007F31F0"/>
    <w:rsid w:val="007F39D9"/>
    <w:rsid w:val="007F6443"/>
    <w:rsid w:val="00800E9D"/>
    <w:rsid w:val="008017C6"/>
    <w:rsid w:val="00802EA2"/>
    <w:rsid w:val="00804993"/>
    <w:rsid w:val="00805803"/>
    <w:rsid w:val="00807983"/>
    <w:rsid w:val="00807AA2"/>
    <w:rsid w:val="00810496"/>
    <w:rsid w:val="00810E55"/>
    <w:rsid w:val="008120D6"/>
    <w:rsid w:val="00812F02"/>
    <w:rsid w:val="00813725"/>
    <w:rsid w:val="008139AC"/>
    <w:rsid w:val="00813FBA"/>
    <w:rsid w:val="00814DCC"/>
    <w:rsid w:val="00814FCC"/>
    <w:rsid w:val="00820C06"/>
    <w:rsid w:val="008216D9"/>
    <w:rsid w:val="00822F80"/>
    <w:rsid w:val="00823749"/>
    <w:rsid w:val="00827C4C"/>
    <w:rsid w:val="00830147"/>
    <w:rsid w:val="00830632"/>
    <w:rsid w:val="00830D15"/>
    <w:rsid w:val="00830F90"/>
    <w:rsid w:val="00831363"/>
    <w:rsid w:val="0083429B"/>
    <w:rsid w:val="008345AE"/>
    <w:rsid w:val="00835F45"/>
    <w:rsid w:val="0083602E"/>
    <w:rsid w:val="00840854"/>
    <w:rsid w:val="008466D1"/>
    <w:rsid w:val="00846872"/>
    <w:rsid w:val="008547C1"/>
    <w:rsid w:val="00855CB9"/>
    <w:rsid w:val="0086005D"/>
    <w:rsid w:val="00860824"/>
    <w:rsid w:val="00860A8B"/>
    <w:rsid w:val="008620CA"/>
    <w:rsid w:val="00864303"/>
    <w:rsid w:val="00864F1F"/>
    <w:rsid w:val="00865E19"/>
    <w:rsid w:val="008713BE"/>
    <w:rsid w:val="0087209F"/>
    <w:rsid w:val="00874357"/>
    <w:rsid w:val="00875B89"/>
    <w:rsid w:val="00880309"/>
    <w:rsid w:val="00880760"/>
    <w:rsid w:val="00882228"/>
    <w:rsid w:val="00884F0B"/>
    <w:rsid w:val="0088578D"/>
    <w:rsid w:val="008865C8"/>
    <w:rsid w:val="00890682"/>
    <w:rsid w:val="00892E20"/>
    <w:rsid w:val="0089354F"/>
    <w:rsid w:val="00893DAE"/>
    <w:rsid w:val="00894017"/>
    <w:rsid w:val="008A1F00"/>
    <w:rsid w:val="008A4CF4"/>
    <w:rsid w:val="008A7B4B"/>
    <w:rsid w:val="008B3181"/>
    <w:rsid w:val="008B3983"/>
    <w:rsid w:val="008C2375"/>
    <w:rsid w:val="008C3587"/>
    <w:rsid w:val="008C3996"/>
    <w:rsid w:val="008C3E93"/>
    <w:rsid w:val="008C627B"/>
    <w:rsid w:val="008C7C02"/>
    <w:rsid w:val="008D1365"/>
    <w:rsid w:val="008D4D29"/>
    <w:rsid w:val="008D5047"/>
    <w:rsid w:val="008D63F2"/>
    <w:rsid w:val="008E0BB4"/>
    <w:rsid w:val="008E4F83"/>
    <w:rsid w:val="008E59E6"/>
    <w:rsid w:val="008E6C8C"/>
    <w:rsid w:val="008E6CDA"/>
    <w:rsid w:val="008F1AF9"/>
    <w:rsid w:val="008F5213"/>
    <w:rsid w:val="008F76F0"/>
    <w:rsid w:val="00902161"/>
    <w:rsid w:val="00904A04"/>
    <w:rsid w:val="009067DD"/>
    <w:rsid w:val="009069BA"/>
    <w:rsid w:val="00906E67"/>
    <w:rsid w:val="0090786D"/>
    <w:rsid w:val="00907E27"/>
    <w:rsid w:val="009103E6"/>
    <w:rsid w:val="009135B4"/>
    <w:rsid w:val="009168D9"/>
    <w:rsid w:val="00916F97"/>
    <w:rsid w:val="00921344"/>
    <w:rsid w:val="00926A1B"/>
    <w:rsid w:val="0093229A"/>
    <w:rsid w:val="00932A88"/>
    <w:rsid w:val="00933CAE"/>
    <w:rsid w:val="00934C0E"/>
    <w:rsid w:val="00934F54"/>
    <w:rsid w:val="00935A82"/>
    <w:rsid w:val="00937F10"/>
    <w:rsid w:val="00942BA7"/>
    <w:rsid w:val="009458C9"/>
    <w:rsid w:val="009468F9"/>
    <w:rsid w:val="00954582"/>
    <w:rsid w:val="00957FED"/>
    <w:rsid w:val="00960995"/>
    <w:rsid w:val="00961372"/>
    <w:rsid w:val="00963FA6"/>
    <w:rsid w:val="00964405"/>
    <w:rsid w:val="0096619B"/>
    <w:rsid w:val="00967537"/>
    <w:rsid w:val="009734B4"/>
    <w:rsid w:val="00976578"/>
    <w:rsid w:val="00986F69"/>
    <w:rsid w:val="00992DFA"/>
    <w:rsid w:val="00996A98"/>
    <w:rsid w:val="00996F31"/>
    <w:rsid w:val="009979FD"/>
    <w:rsid w:val="00997B40"/>
    <w:rsid w:val="009A55F3"/>
    <w:rsid w:val="009B10BE"/>
    <w:rsid w:val="009B4387"/>
    <w:rsid w:val="009B53A4"/>
    <w:rsid w:val="009B78C2"/>
    <w:rsid w:val="009C29A3"/>
    <w:rsid w:val="009C2D77"/>
    <w:rsid w:val="009C517C"/>
    <w:rsid w:val="009C5480"/>
    <w:rsid w:val="009C5643"/>
    <w:rsid w:val="009C6DAD"/>
    <w:rsid w:val="009C7AF2"/>
    <w:rsid w:val="009D14E1"/>
    <w:rsid w:val="009D1D87"/>
    <w:rsid w:val="009D5343"/>
    <w:rsid w:val="009D55C4"/>
    <w:rsid w:val="009E0530"/>
    <w:rsid w:val="009E49C7"/>
    <w:rsid w:val="009E6F5D"/>
    <w:rsid w:val="009E7598"/>
    <w:rsid w:val="009F2F4A"/>
    <w:rsid w:val="009F4C51"/>
    <w:rsid w:val="009F4CCF"/>
    <w:rsid w:val="00A00F95"/>
    <w:rsid w:val="00A02BEE"/>
    <w:rsid w:val="00A03844"/>
    <w:rsid w:val="00A03B1B"/>
    <w:rsid w:val="00A2065A"/>
    <w:rsid w:val="00A20E85"/>
    <w:rsid w:val="00A25F90"/>
    <w:rsid w:val="00A312B1"/>
    <w:rsid w:val="00A31AA6"/>
    <w:rsid w:val="00A37A82"/>
    <w:rsid w:val="00A403CB"/>
    <w:rsid w:val="00A427C4"/>
    <w:rsid w:val="00A42BDC"/>
    <w:rsid w:val="00A44B42"/>
    <w:rsid w:val="00A46AA6"/>
    <w:rsid w:val="00A53715"/>
    <w:rsid w:val="00A55A7F"/>
    <w:rsid w:val="00A63064"/>
    <w:rsid w:val="00A6317E"/>
    <w:rsid w:val="00A63261"/>
    <w:rsid w:val="00A70669"/>
    <w:rsid w:val="00A76629"/>
    <w:rsid w:val="00A76EF9"/>
    <w:rsid w:val="00A77EBE"/>
    <w:rsid w:val="00A81A9C"/>
    <w:rsid w:val="00A836EA"/>
    <w:rsid w:val="00A8537B"/>
    <w:rsid w:val="00A90A19"/>
    <w:rsid w:val="00A93FB9"/>
    <w:rsid w:val="00A964FD"/>
    <w:rsid w:val="00A96BB2"/>
    <w:rsid w:val="00A977EC"/>
    <w:rsid w:val="00A97A6F"/>
    <w:rsid w:val="00AA00F1"/>
    <w:rsid w:val="00AA0969"/>
    <w:rsid w:val="00AA0AAC"/>
    <w:rsid w:val="00AA0FDE"/>
    <w:rsid w:val="00AA678A"/>
    <w:rsid w:val="00AB131C"/>
    <w:rsid w:val="00AB3434"/>
    <w:rsid w:val="00AB449F"/>
    <w:rsid w:val="00AC1677"/>
    <w:rsid w:val="00AC42B7"/>
    <w:rsid w:val="00AC5B81"/>
    <w:rsid w:val="00AC7AC5"/>
    <w:rsid w:val="00AD0210"/>
    <w:rsid w:val="00AD0386"/>
    <w:rsid w:val="00AD36EA"/>
    <w:rsid w:val="00AD4C2E"/>
    <w:rsid w:val="00AD53D9"/>
    <w:rsid w:val="00AE115C"/>
    <w:rsid w:val="00AE768A"/>
    <w:rsid w:val="00AE7759"/>
    <w:rsid w:val="00AF04E6"/>
    <w:rsid w:val="00AF0D6C"/>
    <w:rsid w:val="00AF3848"/>
    <w:rsid w:val="00AF60F9"/>
    <w:rsid w:val="00B012E4"/>
    <w:rsid w:val="00B013A4"/>
    <w:rsid w:val="00B0193A"/>
    <w:rsid w:val="00B020D7"/>
    <w:rsid w:val="00B0294F"/>
    <w:rsid w:val="00B036AA"/>
    <w:rsid w:val="00B04EE9"/>
    <w:rsid w:val="00B0680F"/>
    <w:rsid w:val="00B07FA0"/>
    <w:rsid w:val="00B10039"/>
    <w:rsid w:val="00B115E1"/>
    <w:rsid w:val="00B11FFA"/>
    <w:rsid w:val="00B1737E"/>
    <w:rsid w:val="00B2007F"/>
    <w:rsid w:val="00B219E5"/>
    <w:rsid w:val="00B27568"/>
    <w:rsid w:val="00B27E55"/>
    <w:rsid w:val="00B30932"/>
    <w:rsid w:val="00B34514"/>
    <w:rsid w:val="00B34FCC"/>
    <w:rsid w:val="00B45F68"/>
    <w:rsid w:val="00B468FA"/>
    <w:rsid w:val="00B47377"/>
    <w:rsid w:val="00B50071"/>
    <w:rsid w:val="00B52472"/>
    <w:rsid w:val="00B53500"/>
    <w:rsid w:val="00B54455"/>
    <w:rsid w:val="00B54EE8"/>
    <w:rsid w:val="00B55F90"/>
    <w:rsid w:val="00B5718D"/>
    <w:rsid w:val="00B57617"/>
    <w:rsid w:val="00B60D4D"/>
    <w:rsid w:val="00B64877"/>
    <w:rsid w:val="00B64B86"/>
    <w:rsid w:val="00B66E11"/>
    <w:rsid w:val="00B80536"/>
    <w:rsid w:val="00B811A3"/>
    <w:rsid w:val="00B90BDB"/>
    <w:rsid w:val="00B92185"/>
    <w:rsid w:val="00B921ED"/>
    <w:rsid w:val="00B954CB"/>
    <w:rsid w:val="00B95AED"/>
    <w:rsid w:val="00B960A9"/>
    <w:rsid w:val="00B97136"/>
    <w:rsid w:val="00BA0384"/>
    <w:rsid w:val="00BA0A8B"/>
    <w:rsid w:val="00BA378F"/>
    <w:rsid w:val="00BA7386"/>
    <w:rsid w:val="00BB0F71"/>
    <w:rsid w:val="00BB319B"/>
    <w:rsid w:val="00BB3F1A"/>
    <w:rsid w:val="00BB7C6C"/>
    <w:rsid w:val="00BC1157"/>
    <w:rsid w:val="00BC1700"/>
    <w:rsid w:val="00BC283F"/>
    <w:rsid w:val="00BC3165"/>
    <w:rsid w:val="00BC37A7"/>
    <w:rsid w:val="00BC58A7"/>
    <w:rsid w:val="00BC7B90"/>
    <w:rsid w:val="00BC7BA4"/>
    <w:rsid w:val="00BE414D"/>
    <w:rsid w:val="00BE547C"/>
    <w:rsid w:val="00BE7296"/>
    <w:rsid w:val="00BF0463"/>
    <w:rsid w:val="00BF19FD"/>
    <w:rsid w:val="00BF2A91"/>
    <w:rsid w:val="00C01EC2"/>
    <w:rsid w:val="00C03C29"/>
    <w:rsid w:val="00C03CF9"/>
    <w:rsid w:val="00C04303"/>
    <w:rsid w:val="00C049EB"/>
    <w:rsid w:val="00C06829"/>
    <w:rsid w:val="00C106E0"/>
    <w:rsid w:val="00C117EC"/>
    <w:rsid w:val="00C13F4E"/>
    <w:rsid w:val="00C16402"/>
    <w:rsid w:val="00C16C1E"/>
    <w:rsid w:val="00C1733E"/>
    <w:rsid w:val="00C20CA4"/>
    <w:rsid w:val="00C21C92"/>
    <w:rsid w:val="00C315F3"/>
    <w:rsid w:val="00C353E6"/>
    <w:rsid w:val="00C35454"/>
    <w:rsid w:val="00C36ECC"/>
    <w:rsid w:val="00C375C6"/>
    <w:rsid w:val="00C421B6"/>
    <w:rsid w:val="00C42A87"/>
    <w:rsid w:val="00C43C6B"/>
    <w:rsid w:val="00C46405"/>
    <w:rsid w:val="00C508C1"/>
    <w:rsid w:val="00C54194"/>
    <w:rsid w:val="00C54267"/>
    <w:rsid w:val="00C55AC2"/>
    <w:rsid w:val="00C603AA"/>
    <w:rsid w:val="00C607A2"/>
    <w:rsid w:val="00C64E97"/>
    <w:rsid w:val="00C67B6E"/>
    <w:rsid w:val="00C700AE"/>
    <w:rsid w:val="00C70860"/>
    <w:rsid w:val="00C7105A"/>
    <w:rsid w:val="00C758E2"/>
    <w:rsid w:val="00C76B27"/>
    <w:rsid w:val="00C82C03"/>
    <w:rsid w:val="00C92C88"/>
    <w:rsid w:val="00C96206"/>
    <w:rsid w:val="00C967AF"/>
    <w:rsid w:val="00CA108F"/>
    <w:rsid w:val="00CA2003"/>
    <w:rsid w:val="00CA3C51"/>
    <w:rsid w:val="00CA4F63"/>
    <w:rsid w:val="00CB11AC"/>
    <w:rsid w:val="00CB24F7"/>
    <w:rsid w:val="00CB4D94"/>
    <w:rsid w:val="00CC1A79"/>
    <w:rsid w:val="00CC4A60"/>
    <w:rsid w:val="00CD2E71"/>
    <w:rsid w:val="00CD3151"/>
    <w:rsid w:val="00CD39BF"/>
    <w:rsid w:val="00CD4273"/>
    <w:rsid w:val="00CD656C"/>
    <w:rsid w:val="00CE2CB0"/>
    <w:rsid w:val="00CE3D4F"/>
    <w:rsid w:val="00CE4310"/>
    <w:rsid w:val="00CE4D4F"/>
    <w:rsid w:val="00CE4D93"/>
    <w:rsid w:val="00CE7D39"/>
    <w:rsid w:val="00CF27A1"/>
    <w:rsid w:val="00CF2B6E"/>
    <w:rsid w:val="00CF3604"/>
    <w:rsid w:val="00D04A56"/>
    <w:rsid w:val="00D05321"/>
    <w:rsid w:val="00D12BC5"/>
    <w:rsid w:val="00D1373A"/>
    <w:rsid w:val="00D1414F"/>
    <w:rsid w:val="00D144B4"/>
    <w:rsid w:val="00D14F4B"/>
    <w:rsid w:val="00D20134"/>
    <w:rsid w:val="00D230D7"/>
    <w:rsid w:val="00D23A6E"/>
    <w:rsid w:val="00D24346"/>
    <w:rsid w:val="00D25B44"/>
    <w:rsid w:val="00D27769"/>
    <w:rsid w:val="00D277CC"/>
    <w:rsid w:val="00D27FD8"/>
    <w:rsid w:val="00D305D8"/>
    <w:rsid w:val="00D319B5"/>
    <w:rsid w:val="00D40792"/>
    <w:rsid w:val="00D4137C"/>
    <w:rsid w:val="00D422DA"/>
    <w:rsid w:val="00D4348A"/>
    <w:rsid w:val="00D44871"/>
    <w:rsid w:val="00D453B3"/>
    <w:rsid w:val="00D46E68"/>
    <w:rsid w:val="00D473B6"/>
    <w:rsid w:val="00D50253"/>
    <w:rsid w:val="00D50515"/>
    <w:rsid w:val="00D52D79"/>
    <w:rsid w:val="00D54A14"/>
    <w:rsid w:val="00D556F3"/>
    <w:rsid w:val="00D57994"/>
    <w:rsid w:val="00D611F5"/>
    <w:rsid w:val="00D61C23"/>
    <w:rsid w:val="00D63961"/>
    <w:rsid w:val="00D65498"/>
    <w:rsid w:val="00D67157"/>
    <w:rsid w:val="00D6715D"/>
    <w:rsid w:val="00D7091B"/>
    <w:rsid w:val="00D737D3"/>
    <w:rsid w:val="00D73B4C"/>
    <w:rsid w:val="00D74172"/>
    <w:rsid w:val="00D7441E"/>
    <w:rsid w:val="00D748E7"/>
    <w:rsid w:val="00D80409"/>
    <w:rsid w:val="00D805D4"/>
    <w:rsid w:val="00D825DD"/>
    <w:rsid w:val="00D86334"/>
    <w:rsid w:val="00D91963"/>
    <w:rsid w:val="00D91D3F"/>
    <w:rsid w:val="00D9600B"/>
    <w:rsid w:val="00DA2019"/>
    <w:rsid w:val="00DA4A29"/>
    <w:rsid w:val="00DA509E"/>
    <w:rsid w:val="00DA51BA"/>
    <w:rsid w:val="00DA61CE"/>
    <w:rsid w:val="00DB1B76"/>
    <w:rsid w:val="00DB6304"/>
    <w:rsid w:val="00DC01D3"/>
    <w:rsid w:val="00DC05AA"/>
    <w:rsid w:val="00DC18EA"/>
    <w:rsid w:val="00DC1A76"/>
    <w:rsid w:val="00DD03D4"/>
    <w:rsid w:val="00DD0627"/>
    <w:rsid w:val="00DD1549"/>
    <w:rsid w:val="00DD288F"/>
    <w:rsid w:val="00DD3E62"/>
    <w:rsid w:val="00DD4C4F"/>
    <w:rsid w:val="00DE10CD"/>
    <w:rsid w:val="00DE238E"/>
    <w:rsid w:val="00DE3801"/>
    <w:rsid w:val="00DF0536"/>
    <w:rsid w:val="00DF1201"/>
    <w:rsid w:val="00DF59FE"/>
    <w:rsid w:val="00DF78B6"/>
    <w:rsid w:val="00E00D21"/>
    <w:rsid w:val="00E01326"/>
    <w:rsid w:val="00E049FA"/>
    <w:rsid w:val="00E058EC"/>
    <w:rsid w:val="00E134E1"/>
    <w:rsid w:val="00E13D86"/>
    <w:rsid w:val="00E155C3"/>
    <w:rsid w:val="00E17C05"/>
    <w:rsid w:val="00E21FCF"/>
    <w:rsid w:val="00E221C4"/>
    <w:rsid w:val="00E22201"/>
    <w:rsid w:val="00E22924"/>
    <w:rsid w:val="00E257F5"/>
    <w:rsid w:val="00E2620C"/>
    <w:rsid w:val="00E30FA3"/>
    <w:rsid w:val="00E32B91"/>
    <w:rsid w:val="00E34103"/>
    <w:rsid w:val="00E3715A"/>
    <w:rsid w:val="00E37446"/>
    <w:rsid w:val="00E40839"/>
    <w:rsid w:val="00E46283"/>
    <w:rsid w:val="00E51536"/>
    <w:rsid w:val="00E5235C"/>
    <w:rsid w:val="00E527B7"/>
    <w:rsid w:val="00E52F39"/>
    <w:rsid w:val="00E5330B"/>
    <w:rsid w:val="00E54656"/>
    <w:rsid w:val="00E55CA7"/>
    <w:rsid w:val="00E564E5"/>
    <w:rsid w:val="00E60A0E"/>
    <w:rsid w:val="00E610B4"/>
    <w:rsid w:val="00E6226C"/>
    <w:rsid w:val="00E6462E"/>
    <w:rsid w:val="00E64F68"/>
    <w:rsid w:val="00E65567"/>
    <w:rsid w:val="00E6774A"/>
    <w:rsid w:val="00E70663"/>
    <w:rsid w:val="00E71270"/>
    <w:rsid w:val="00E71C7D"/>
    <w:rsid w:val="00E72359"/>
    <w:rsid w:val="00E75036"/>
    <w:rsid w:val="00E75D42"/>
    <w:rsid w:val="00E81ED3"/>
    <w:rsid w:val="00E82800"/>
    <w:rsid w:val="00E83AF9"/>
    <w:rsid w:val="00E8533C"/>
    <w:rsid w:val="00E86BC6"/>
    <w:rsid w:val="00E87531"/>
    <w:rsid w:val="00E909EF"/>
    <w:rsid w:val="00E912EA"/>
    <w:rsid w:val="00E935C9"/>
    <w:rsid w:val="00E93DEE"/>
    <w:rsid w:val="00E94233"/>
    <w:rsid w:val="00E97EB3"/>
    <w:rsid w:val="00EA4736"/>
    <w:rsid w:val="00EA499C"/>
    <w:rsid w:val="00EA5F33"/>
    <w:rsid w:val="00EA7459"/>
    <w:rsid w:val="00EA7F13"/>
    <w:rsid w:val="00EB1EB0"/>
    <w:rsid w:val="00EB4B4A"/>
    <w:rsid w:val="00EB6243"/>
    <w:rsid w:val="00EB6A49"/>
    <w:rsid w:val="00EC1260"/>
    <w:rsid w:val="00EC1E41"/>
    <w:rsid w:val="00EC334D"/>
    <w:rsid w:val="00EC6B1A"/>
    <w:rsid w:val="00EC7C8E"/>
    <w:rsid w:val="00ED046B"/>
    <w:rsid w:val="00ED203C"/>
    <w:rsid w:val="00ED2A8D"/>
    <w:rsid w:val="00ED506E"/>
    <w:rsid w:val="00ED5944"/>
    <w:rsid w:val="00ED66CA"/>
    <w:rsid w:val="00EE2721"/>
    <w:rsid w:val="00EE2B3C"/>
    <w:rsid w:val="00EE5E05"/>
    <w:rsid w:val="00EE6220"/>
    <w:rsid w:val="00EF0CEA"/>
    <w:rsid w:val="00EF26C1"/>
    <w:rsid w:val="00EF4E77"/>
    <w:rsid w:val="00EF50B1"/>
    <w:rsid w:val="00EF5F4B"/>
    <w:rsid w:val="00EF68F6"/>
    <w:rsid w:val="00F01018"/>
    <w:rsid w:val="00F01927"/>
    <w:rsid w:val="00F02A6C"/>
    <w:rsid w:val="00F065F6"/>
    <w:rsid w:val="00F10873"/>
    <w:rsid w:val="00F131B9"/>
    <w:rsid w:val="00F1700E"/>
    <w:rsid w:val="00F2082F"/>
    <w:rsid w:val="00F21C72"/>
    <w:rsid w:val="00F24042"/>
    <w:rsid w:val="00F24E51"/>
    <w:rsid w:val="00F26FBC"/>
    <w:rsid w:val="00F311EF"/>
    <w:rsid w:val="00F32521"/>
    <w:rsid w:val="00F33806"/>
    <w:rsid w:val="00F3549C"/>
    <w:rsid w:val="00F35789"/>
    <w:rsid w:val="00F3739B"/>
    <w:rsid w:val="00F41512"/>
    <w:rsid w:val="00F4497B"/>
    <w:rsid w:val="00F477DC"/>
    <w:rsid w:val="00F51745"/>
    <w:rsid w:val="00F52863"/>
    <w:rsid w:val="00F528F6"/>
    <w:rsid w:val="00F5701B"/>
    <w:rsid w:val="00F64D3D"/>
    <w:rsid w:val="00F66E3B"/>
    <w:rsid w:val="00F67E3B"/>
    <w:rsid w:val="00F75689"/>
    <w:rsid w:val="00F81053"/>
    <w:rsid w:val="00F82C8A"/>
    <w:rsid w:val="00F8303A"/>
    <w:rsid w:val="00F86F59"/>
    <w:rsid w:val="00F9364C"/>
    <w:rsid w:val="00F94662"/>
    <w:rsid w:val="00F94F06"/>
    <w:rsid w:val="00F956B7"/>
    <w:rsid w:val="00FA4CF3"/>
    <w:rsid w:val="00FA6CCD"/>
    <w:rsid w:val="00FA7BC0"/>
    <w:rsid w:val="00FB3F11"/>
    <w:rsid w:val="00FB4093"/>
    <w:rsid w:val="00FB4292"/>
    <w:rsid w:val="00FB5B7C"/>
    <w:rsid w:val="00FB67CC"/>
    <w:rsid w:val="00FB6BD4"/>
    <w:rsid w:val="00FC10D5"/>
    <w:rsid w:val="00FC1319"/>
    <w:rsid w:val="00FC2884"/>
    <w:rsid w:val="00FC3191"/>
    <w:rsid w:val="00FC4409"/>
    <w:rsid w:val="00FC4688"/>
    <w:rsid w:val="00FC5AC5"/>
    <w:rsid w:val="00FC7AD4"/>
    <w:rsid w:val="00FD1CB6"/>
    <w:rsid w:val="00FD3B7C"/>
    <w:rsid w:val="00FD56EB"/>
    <w:rsid w:val="00FE12AA"/>
    <w:rsid w:val="00FE244B"/>
    <w:rsid w:val="00FE2A3A"/>
    <w:rsid w:val="00FE31E8"/>
    <w:rsid w:val="00FE39F8"/>
    <w:rsid w:val="00FE7650"/>
    <w:rsid w:val="01164EA4"/>
    <w:rsid w:val="012F2443"/>
    <w:rsid w:val="0130583E"/>
    <w:rsid w:val="01526812"/>
    <w:rsid w:val="016B3CA6"/>
    <w:rsid w:val="018C34A2"/>
    <w:rsid w:val="01A07D70"/>
    <w:rsid w:val="01CD7511"/>
    <w:rsid w:val="01D214CE"/>
    <w:rsid w:val="02112AEB"/>
    <w:rsid w:val="02430B2B"/>
    <w:rsid w:val="024B7749"/>
    <w:rsid w:val="0267140D"/>
    <w:rsid w:val="02A8007C"/>
    <w:rsid w:val="02AA0ECF"/>
    <w:rsid w:val="02B7624C"/>
    <w:rsid w:val="02DB6D48"/>
    <w:rsid w:val="02E965AD"/>
    <w:rsid w:val="02FD6D58"/>
    <w:rsid w:val="030E4C83"/>
    <w:rsid w:val="03366EC4"/>
    <w:rsid w:val="03386882"/>
    <w:rsid w:val="037F2D0A"/>
    <w:rsid w:val="03944ECA"/>
    <w:rsid w:val="03965505"/>
    <w:rsid w:val="03BC7892"/>
    <w:rsid w:val="03CF276F"/>
    <w:rsid w:val="03E4059C"/>
    <w:rsid w:val="03E55E4B"/>
    <w:rsid w:val="03E6209F"/>
    <w:rsid w:val="03E73C99"/>
    <w:rsid w:val="03F85261"/>
    <w:rsid w:val="043D08AE"/>
    <w:rsid w:val="0443737B"/>
    <w:rsid w:val="04454754"/>
    <w:rsid w:val="04606511"/>
    <w:rsid w:val="04877EB6"/>
    <w:rsid w:val="048B2CC6"/>
    <w:rsid w:val="04BC3FEE"/>
    <w:rsid w:val="04E95909"/>
    <w:rsid w:val="04EB1D6B"/>
    <w:rsid w:val="04EF57A5"/>
    <w:rsid w:val="05012D5B"/>
    <w:rsid w:val="05052E25"/>
    <w:rsid w:val="05181770"/>
    <w:rsid w:val="052F2A11"/>
    <w:rsid w:val="054756D0"/>
    <w:rsid w:val="05602EEF"/>
    <w:rsid w:val="05A512A0"/>
    <w:rsid w:val="05C01831"/>
    <w:rsid w:val="05CA2433"/>
    <w:rsid w:val="05CA289C"/>
    <w:rsid w:val="05DC2BB2"/>
    <w:rsid w:val="060A6FDB"/>
    <w:rsid w:val="062459EC"/>
    <w:rsid w:val="06362BF5"/>
    <w:rsid w:val="06520F52"/>
    <w:rsid w:val="06545E49"/>
    <w:rsid w:val="0662250D"/>
    <w:rsid w:val="068143AA"/>
    <w:rsid w:val="069756C9"/>
    <w:rsid w:val="069C5A16"/>
    <w:rsid w:val="06AD5C93"/>
    <w:rsid w:val="06D344A0"/>
    <w:rsid w:val="06E415DA"/>
    <w:rsid w:val="06E8668F"/>
    <w:rsid w:val="06EA41D2"/>
    <w:rsid w:val="06F82B78"/>
    <w:rsid w:val="07013AFC"/>
    <w:rsid w:val="07035F04"/>
    <w:rsid w:val="072A0DCF"/>
    <w:rsid w:val="072D0755"/>
    <w:rsid w:val="072E42E3"/>
    <w:rsid w:val="074F75B4"/>
    <w:rsid w:val="07611CC5"/>
    <w:rsid w:val="078A1734"/>
    <w:rsid w:val="07A174CB"/>
    <w:rsid w:val="07A54D49"/>
    <w:rsid w:val="07B95303"/>
    <w:rsid w:val="07C5140B"/>
    <w:rsid w:val="07ED44BE"/>
    <w:rsid w:val="07F22E75"/>
    <w:rsid w:val="08275351"/>
    <w:rsid w:val="083F6DFD"/>
    <w:rsid w:val="085F5F7C"/>
    <w:rsid w:val="08690DFA"/>
    <w:rsid w:val="08732EDD"/>
    <w:rsid w:val="08866B3C"/>
    <w:rsid w:val="08A07BC2"/>
    <w:rsid w:val="08A96DA6"/>
    <w:rsid w:val="08AB610E"/>
    <w:rsid w:val="08D3679E"/>
    <w:rsid w:val="090A0CD9"/>
    <w:rsid w:val="090F613F"/>
    <w:rsid w:val="09193390"/>
    <w:rsid w:val="0932487E"/>
    <w:rsid w:val="093F2575"/>
    <w:rsid w:val="095A5B83"/>
    <w:rsid w:val="0968446C"/>
    <w:rsid w:val="09815C56"/>
    <w:rsid w:val="09880AD8"/>
    <w:rsid w:val="099E61EE"/>
    <w:rsid w:val="09B031CE"/>
    <w:rsid w:val="09CF5CF1"/>
    <w:rsid w:val="09EB53B2"/>
    <w:rsid w:val="09F61EA7"/>
    <w:rsid w:val="0A124E42"/>
    <w:rsid w:val="0A2F181E"/>
    <w:rsid w:val="0A451260"/>
    <w:rsid w:val="0A5271EB"/>
    <w:rsid w:val="0A6525EA"/>
    <w:rsid w:val="0A6F0197"/>
    <w:rsid w:val="0A7D4096"/>
    <w:rsid w:val="0AA02DA7"/>
    <w:rsid w:val="0AA5328F"/>
    <w:rsid w:val="0AD8309B"/>
    <w:rsid w:val="0B134589"/>
    <w:rsid w:val="0B1B7DAA"/>
    <w:rsid w:val="0B33788A"/>
    <w:rsid w:val="0B4B73ED"/>
    <w:rsid w:val="0B5807E8"/>
    <w:rsid w:val="0B5E04E5"/>
    <w:rsid w:val="0B7E48FD"/>
    <w:rsid w:val="0B98709D"/>
    <w:rsid w:val="0BA21047"/>
    <w:rsid w:val="0BC15DEC"/>
    <w:rsid w:val="0BCB2D68"/>
    <w:rsid w:val="0BDA0E24"/>
    <w:rsid w:val="0BFB0153"/>
    <w:rsid w:val="0C2A0C9F"/>
    <w:rsid w:val="0C414703"/>
    <w:rsid w:val="0C53580D"/>
    <w:rsid w:val="0C5F3BF0"/>
    <w:rsid w:val="0C9D3AC1"/>
    <w:rsid w:val="0CAC6211"/>
    <w:rsid w:val="0CBB26B7"/>
    <w:rsid w:val="0CBF2825"/>
    <w:rsid w:val="0CC46A76"/>
    <w:rsid w:val="0CCA1272"/>
    <w:rsid w:val="0CE60071"/>
    <w:rsid w:val="0CE642FD"/>
    <w:rsid w:val="0CEE1FF2"/>
    <w:rsid w:val="0CF92C66"/>
    <w:rsid w:val="0CFC2EE8"/>
    <w:rsid w:val="0D0F7B15"/>
    <w:rsid w:val="0D145694"/>
    <w:rsid w:val="0D417D41"/>
    <w:rsid w:val="0D4B71A9"/>
    <w:rsid w:val="0D5F3C41"/>
    <w:rsid w:val="0D616600"/>
    <w:rsid w:val="0D660DCB"/>
    <w:rsid w:val="0D72089F"/>
    <w:rsid w:val="0D911154"/>
    <w:rsid w:val="0D9F0F57"/>
    <w:rsid w:val="0DA73361"/>
    <w:rsid w:val="0DBE0494"/>
    <w:rsid w:val="0DC75576"/>
    <w:rsid w:val="0DE02CCC"/>
    <w:rsid w:val="0DF15DEE"/>
    <w:rsid w:val="0E0E72EC"/>
    <w:rsid w:val="0E4762C6"/>
    <w:rsid w:val="0E480505"/>
    <w:rsid w:val="0E4D4AA5"/>
    <w:rsid w:val="0E545AFA"/>
    <w:rsid w:val="0E5664B5"/>
    <w:rsid w:val="0E6574A4"/>
    <w:rsid w:val="0E663237"/>
    <w:rsid w:val="0E680D42"/>
    <w:rsid w:val="0E7D198F"/>
    <w:rsid w:val="0EA47C99"/>
    <w:rsid w:val="0ECE7801"/>
    <w:rsid w:val="0EF068D9"/>
    <w:rsid w:val="0EF27D52"/>
    <w:rsid w:val="0F054059"/>
    <w:rsid w:val="0F0627E0"/>
    <w:rsid w:val="0F0E3698"/>
    <w:rsid w:val="0F2143C2"/>
    <w:rsid w:val="0F3F26C6"/>
    <w:rsid w:val="0F401C02"/>
    <w:rsid w:val="0F4628FA"/>
    <w:rsid w:val="0F594D76"/>
    <w:rsid w:val="0F96368D"/>
    <w:rsid w:val="0FB07FB8"/>
    <w:rsid w:val="0FB34829"/>
    <w:rsid w:val="0FBC592A"/>
    <w:rsid w:val="0FD61CDB"/>
    <w:rsid w:val="0FDB561E"/>
    <w:rsid w:val="10125409"/>
    <w:rsid w:val="101D5F03"/>
    <w:rsid w:val="102840F8"/>
    <w:rsid w:val="10336F6C"/>
    <w:rsid w:val="104602F5"/>
    <w:rsid w:val="105B51DC"/>
    <w:rsid w:val="106B55BC"/>
    <w:rsid w:val="10B02E63"/>
    <w:rsid w:val="10B164C8"/>
    <w:rsid w:val="10C14D02"/>
    <w:rsid w:val="10EA52C2"/>
    <w:rsid w:val="10F660E8"/>
    <w:rsid w:val="11205904"/>
    <w:rsid w:val="113A2324"/>
    <w:rsid w:val="11427F65"/>
    <w:rsid w:val="115415F8"/>
    <w:rsid w:val="11801591"/>
    <w:rsid w:val="11C22947"/>
    <w:rsid w:val="11C61ECE"/>
    <w:rsid w:val="11C96F3F"/>
    <w:rsid w:val="11EB27F1"/>
    <w:rsid w:val="11F80FD7"/>
    <w:rsid w:val="122C195A"/>
    <w:rsid w:val="123B6B8C"/>
    <w:rsid w:val="123E0D92"/>
    <w:rsid w:val="125A62EA"/>
    <w:rsid w:val="125B57C9"/>
    <w:rsid w:val="1268239A"/>
    <w:rsid w:val="126A5F2F"/>
    <w:rsid w:val="127E4C49"/>
    <w:rsid w:val="1294767B"/>
    <w:rsid w:val="129D5474"/>
    <w:rsid w:val="12C54DAE"/>
    <w:rsid w:val="12E71DDC"/>
    <w:rsid w:val="12EC47D2"/>
    <w:rsid w:val="12F65B37"/>
    <w:rsid w:val="12F72695"/>
    <w:rsid w:val="1308440F"/>
    <w:rsid w:val="13267087"/>
    <w:rsid w:val="1331204B"/>
    <w:rsid w:val="133A1B03"/>
    <w:rsid w:val="13404493"/>
    <w:rsid w:val="135607B7"/>
    <w:rsid w:val="135D24EF"/>
    <w:rsid w:val="13FB3A8E"/>
    <w:rsid w:val="141C2791"/>
    <w:rsid w:val="14537884"/>
    <w:rsid w:val="14593BBF"/>
    <w:rsid w:val="1461495D"/>
    <w:rsid w:val="14785733"/>
    <w:rsid w:val="147D738C"/>
    <w:rsid w:val="14932C1C"/>
    <w:rsid w:val="14983A03"/>
    <w:rsid w:val="14B31557"/>
    <w:rsid w:val="14B46A8F"/>
    <w:rsid w:val="14BC24D6"/>
    <w:rsid w:val="14D56C28"/>
    <w:rsid w:val="14E307F5"/>
    <w:rsid w:val="14E44445"/>
    <w:rsid w:val="14E6425F"/>
    <w:rsid w:val="14F614AD"/>
    <w:rsid w:val="150A0311"/>
    <w:rsid w:val="151717C0"/>
    <w:rsid w:val="151C338A"/>
    <w:rsid w:val="15266AF5"/>
    <w:rsid w:val="152D239E"/>
    <w:rsid w:val="152F4368"/>
    <w:rsid w:val="15363948"/>
    <w:rsid w:val="1565002B"/>
    <w:rsid w:val="156979B4"/>
    <w:rsid w:val="15900895"/>
    <w:rsid w:val="15F35395"/>
    <w:rsid w:val="160E2CCF"/>
    <w:rsid w:val="163836F0"/>
    <w:rsid w:val="164973BC"/>
    <w:rsid w:val="165B60F7"/>
    <w:rsid w:val="16687648"/>
    <w:rsid w:val="167E3FF7"/>
    <w:rsid w:val="16827B65"/>
    <w:rsid w:val="16965B1D"/>
    <w:rsid w:val="171F4E63"/>
    <w:rsid w:val="17303771"/>
    <w:rsid w:val="173D66F2"/>
    <w:rsid w:val="17430389"/>
    <w:rsid w:val="175C0959"/>
    <w:rsid w:val="177941D0"/>
    <w:rsid w:val="17A56957"/>
    <w:rsid w:val="17B24C1A"/>
    <w:rsid w:val="17C90288"/>
    <w:rsid w:val="17CC70DE"/>
    <w:rsid w:val="17CF3EB7"/>
    <w:rsid w:val="17DA2AED"/>
    <w:rsid w:val="17DC532F"/>
    <w:rsid w:val="17FF01C0"/>
    <w:rsid w:val="18102893"/>
    <w:rsid w:val="181D4324"/>
    <w:rsid w:val="182061EA"/>
    <w:rsid w:val="18273CDA"/>
    <w:rsid w:val="183D4291"/>
    <w:rsid w:val="18454631"/>
    <w:rsid w:val="18800267"/>
    <w:rsid w:val="188A6787"/>
    <w:rsid w:val="188E05D6"/>
    <w:rsid w:val="18A961DF"/>
    <w:rsid w:val="18DE75ED"/>
    <w:rsid w:val="18F322B6"/>
    <w:rsid w:val="19191302"/>
    <w:rsid w:val="19355B62"/>
    <w:rsid w:val="19632832"/>
    <w:rsid w:val="19731B79"/>
    <w:rsid w:val="19737B67"/>
    <w:rsid w:val="19996C8B"/>
    <w:rsid w:val="19BD25FD"/>
    <w:rsid w:val="19D704B1"/>
    <w:rsid w:val="1A024AC4"/>
    <w:rsid w:val="1A1434E4"/>
    <w:rsid w:val="1A1F2BFD"/>
    <w:rsid w:val="1A532ADC"/>
    <w:rsid w:val="1A9F104B"/>
    <w:rsid w:val="1AA57B5F"/>
    <w:rsid w:val="1AAD392D"/>
    <w:rsid w:val="1B043F82"/>
    <w:rsid w:val="1B093F61"/>
    <w:rsid w:val="1B11031A"/>
    <w:rsid w:val="1B260840"/>
    <w:rsid w:val="1B2A29EF"/>
    <w:rsid w:val="1B9878B9"/>
    <w:rsid w:val="1B9F40CA"/>
    <w:rsid w:val="1BA04CFE"/>
    <w:rsid w:val="1BA41B97"/>
    <w:rsid w:val="1BD712B5"/>
    <w:rsid w:val="1BE3189B"/>
    <w:rsid w:val="1BEE452E"/>
    <w:rsid w:val="1BF52C47"/>
    <w:rsid w:val="1BFA4533"/>
    <w:rsid w:val="1BFD2A7A"/>
    <w:rsid w:val="1C2407D2"/>
    <w:rsid w:val="1C29238F"/>
    <w:rsid w:val="1C392717"/>
    <w:rsid w:val="1C4F3541"/>
    <w:rsid w:val="1C6D5042"/>
    <w:rsid w:val="1C7B61AA"/>
    <w:rsid w:val="1C80765E"/>
    <w:rsid w:val="1C8B1964"/>
    <w:rsid w:val="1C94661B"/>
    <w:rsid w:val="1C9A433B"/>
    <w:rsid w:val="1CA30656"/>
    <w:rsid w:val="1CAF5838"/>
    <w:rsid w:val="1CB03888"/>
    <w:rsid w:val="1D314742"/>
    <w:rsid w:val="1D5456AF"/>
    <w:rsid w:val="1D947067"/>
    <w:rsid w:val="1DA37D86"/>
    <w:rsid w:val="1DAA7F10"/>
    <w:rsid w:val="1DBD30DC"/>
    <w:rsid w:val="1DDA6C1E"/>
    <w:rsid w:val="1DF61E96"/>
    <w:rsid w:val="1E2F4303"/>
    <w:rsid w:val="1E317884"/>
    <w:rsid w:val="1E5006DD"/>
    <w:rsid w:val="1E626810"/>
    <w:rsid w:val="1E7A5E16"/>
    <w:rsid w:val="1E7C1444"/>
    <w:rsid w:val="1EAD7881"/>
    <w:rsid w:val="1EAE6B06"/>
    <w:rsid w:val="1EE2069D"/>
    <w:rsid w:val="1EE44777"/>
    <w:rsid w:val="1F053648"/>
    <w:rsid w:val="1F1D16D5"/>
    <w:rsid w:val="1F3544E8"/>
    <w:rsid w:val="1F3A1F0D"/>
    <w:rsid w:val="1F3B0B8F"/>
    <w:rsid w:val="1F515A41"/>
    <w:rsid w:val="1F5C044F"/>
    <w:rsid w:val="1F5F0466"/>
    <w:rsid w:val="1FA30AEF"/>
    <w:rsid w:val="1FC378CD"/>
    <w:rsid w:val="1FF16E8B"/>
    <w:rsid w:val="200811D3"/>
    <w:rsid w:val="204A302E"/>
    <w:rsid w:val="204D7523"/>
    <w:rsid w:val="20514C50"/>
    <w:rsid w:val="20880DD0"/>
    <w:rsid w:val="20920548"/>
    <w:rsid w:val="20B473AA"/>
    <w:rsid w:val="20D26254"/>
    <w:rsid w:val="20E46C9E"/>
    <w:rsid w:val="20E85D14"/>
    <w:rsid w:val="20E94DDE"/>
    <w:rsid w:val="20F54C23"/>
    <w:rsid w:val="20FF3370"/>
    <w:rsid w:val="211113F5"/>
    <w:rsid w:val="213F3B84"/>
    <w:rsid w:val="21432F64"/>
    <w:rsid w:val="216B25DC"/>
    <w:rsid w:val="217E22B5"/>
    <w:rsid w:val="219C0298"/>
    <w:rsid w:val="21BE1D45"/>
    <w:rsid w:val="21D218F6"/>
    <w:rsid w:val="21D95D87"/>
    <w:rsid w:val="21E71356"/>
    <w:rsid w:val="21EE38EF"/>
    <w:rsid w:val="21F1334D"/>
    <w:rsid w:val="221D1FCD"/>
    <w:rsid w:val="22396E2A"/>
    <w:rsid w:val="224A72AF"/>
    <w:rsid w:val="22547760"/>
    <w:rsid w:val="225530EF"/>
    <w:rsid w:val="22583430"/>
    <w:rsid w:val="22651198"/>
    <w:rsid w:val="22723839"/>
    <w:rsid w:val="22747676"/>
    <w:rsid w:val="22A31981"/>
    <w:rsid w:val="22BC30AB"/>
    <w:rsid w:val="22CC3EB7"/>
    <w:rsid w:val="232E0476"/>
    <w:rsid w:val="232F3B6F"/>
    <w:rsid w:val="238413FD"/>
    <w:rsid w:val="23C429A4"/>
    <w:rsid w:val="23C823BC"/>
    <w:rsid w:val="23D76813"/>
    <w:rsid w:val="23F170C3"/>
    <w:rsid w:val="24057464"/>
    <w:rsid w:val="245008C7"/>
    <w:rsid w:val="247B4ED4"/>
    <w:rsid w:val="24883334"/>
    <w:rsid w:val="24A42D4D"/>
    <w:rsid w:val="24BD6B1E"/>
    <w:rsid w:val="24EE7D9B"/>
    <w:rsid w:val="24F211AF"/>
    <w:rsid w:val="24F46692"/>
    <w:rsid w:val="24F91CA0"/>
    <w:rsid w:val="24FE0C04"/>
    <w:rsid w:val="25415027"/>
    <w:rsid w:val="2551032A"/>
    <w:rsid w:val="25537B47"/>
    <w:rsid w:val="25557F8E"/>
    <w:rsid w:val="257B7047"/>
    <w:rsid w:val="257D0072"/>
    <w:rsid w:val="25A432EA"/>
    <w:rsid w:val="25B94BEE"/>
    <w:rsid w:val="25BA45EF"/>
    <w:rsid w:val="25FE4310"/>
    <w:rsid w:val="26195368"/>
    <w:rsid w:val="26231609"/>
    <w:rsid w:val="26257870"/>
    <w:rsid w:val="264609DC"/>
    <w:rsid w:val="267206D8"/>
    <w:rsid w:val="267D2060"/>
    <w:rsid w:val="268A5B08"/>
    <w:rsid w:val="268D0EEE"/>
    <w:rsid w:val="268F16D6"/>
    <w:rsid w:val="26B33DE3"/>
    <w:rsid w:val="26C47B79"/>
    <w:rsid w:val="26D60601"/>
    <w:rsid w:val="26DA26B9"/>
    <w:rsid w:val="26DC4F58"/>
    <w:rsid w:val="26E51EF5"/>
    <w:rsid w:val="26E83F4E"/>
    <w:rsid w:val="26F5684F"/>
    <w:rsid w:val="26FE01DA"/>
    <w:rsid w:val="270B79A6"/>
    <w:rsid w:val="274D1E41"/>
    <w:rsid w:val="275B5A9E"/>
    <w:rsid w:val="275E2901"/>
    <w:rsid w:val="278D255A"/>
    <w:rsid w:val="27BE5B97"/>
    <w:rsid w:val="27EA5FF0"/>
    <w:rsid w:val="27FF63C4"/>
    <w:rsid w:val="28012834"/>
    <w:rsid w:val="28017784"/>
    <w:rsid w:val="280B1F63"/>
    <w:rsid w:val="280E605F"/>
    <w:rsid w:val="2837249D"/>
    <w:rsid w:val="283A50A6"/>
    <w:rsid w:val="28661406"/>
    <w:rsid w:val="287621C2"/>
    <w:rsid w:val="287F157E"/>
    <w:rsid w:val="28856C28"/>
    <w:rsid w:val="28B210E0"/>
    <w:rsid w:val="28B430AA"/>
    <w:rsid w:val="28C03ACC"/>
    <w:rsid w:val="28CB0FF3"/>
    <w:rsid w:val="28D93112"/>
    <w:rsid w:val="28DD78F7"/>
    <w:rsid w:val="28F90ABD"/>
    <w:rsid w:val="290215E4"/>
    <w:rsid w:val="293D6286"/>
    <w:rsid w:val="29412AAF"/>
    <w:rsid w:val="29702FFF"/>
    <w:rsid w:val="29BC3B0E"/>
    <w:rsid w:val="29BF4FA7"/>
    <w:rsid w:val="29F57155"/>
    <w:rsid w:val="2A0E2481"/>
    <w:rsid w:val="2A481D63"/>
    <w:rsid w:val="2A7A0529"/>
    <w:rsid w:val="2A7B34C6"/>
    <w:rsid w:val="2A8B422F"/>
    <w:rsid w:val="2AA7152B"/>
    <w:rsid w:val="2AF6240B"/>
    <w:rsid w:val="2AF76C92"/>
    <w:rsid w:val="2B25451E"/>
    <w:rsid w:val="2B2744E9"/>
    <w:rsid w:val="2B624616"/>
    <w:rsid w:val="2B6F26E8"/>
    <w:rsid w:val="2B7467F9"/>
    <w:rsid w:val="2B7A199A"/>
    <w:rsid w:val="2B8C760C"/>
    <w:rsid w:val="2BB56C2C"/>
    <w:rsid w:val="2BB97180"/>
    <w:rsid w:val="2BF62848"/>
    <w:rsid w:val="2BF8089A"/>
    <w:rsid w:val="2C0315C8"/>
    <w:rsid w:val="2C1411B5"/>
    <w:rsid w:val="2C155C0E"/>
    <w:rsid w:val="2C2B1705"/>
    <w:rsid w:val="2C5300D5"/>
    <w:rsid w:val="2C8D52CF"/>
    <w:rsid w:val="2CA21E63"/>
    <w:rsid w:val="2CAB55D2"/>
    <w:rsid w:val="2CB2599C"/>
    <w:rsid w:val="2D041E59"/>
    <w:rsid w:val="2D1B11C4"/>
    <w:rsid w:val="2D2864D4"/>
    <w:rsid w:val="2D422BA0"/>
    <w:rsid w:val="2D4D3970"/>
    <w:rsid w:val="2D6405B3"/>
    <w:rsid w:val="2D874750"/>
    <w:rsid w:val="2DA43CC6"/>
    <w:rsid w:val="2DAA40C0"/>
    <w:rsid w:val="2DC466F1"/>
    <w:rsid w:val="2DD24CCF"/>
    <w:rsid w:val="2DD32383"/>
    <w:rsid w:val="2DE50909"/>
    <w:rsid w:val="2DFC02C3"/>
    <w:rsid w:val="2E07674D"/>
    <w:rsid w:val="2E16034F"/>
    <w:rsid w:val="2E27050A"/>
    <w:rsid w:val="2E2B0A35"/>
    <w:rsid w:val="2E6361EE"/>
    <w:rsid w:val="2E69227F"/>
    <w:rsid w:val="2E6A68DF"/>
    <w:rsid w:val="2E87355D"/>
    <w:rsid w:val="2E8F1215"/>
    <w:rsid w:val="2E983D5E"/>
    <w:rsid w:val="2EB1759E"/>
    <w:rsid w:val="2ECB4CA9"/>
    <w:rsid w:val="2EDE7420"/>
    <w:rsid w:val="2EE72320"/>
    <w:rsid w:val="2EE8455C"/>
    <w:rsid w:val="2EFC2AD6"/>
    <w:rsid w:val="2F111931"/>
    <w:rsid w:val="2F1410CE"/>
    <w:rsid w:val="2F702FA3"/>
    <w:rsid w:val="2F7C3139"/>
    <w:rsid w:val="2F9B22C4"/>
    <w:rsid w:val="2FB26645"/>
    <w:rsid w:val="2FC414F3"/>
    <w:rsid w:val="2FD03137"/>
    <w:rsid w:val="2FE60929"/>
    <w:rsid w:val="30413EC5"/>
    <w:rsid w:val="304E560D"/>
    <w:rsid w:val="306356E6"/>
    <w:rsid w:val="30790462"/>
    <w:rsid w:val="308B0341"/>
    <w:rsid w:val="308C1A86"/>
    <w:rsid w:val="30913D16"/>
    <w:rsid w:val="30B654E5"/>
    <w:rsid w:val="30D70117"/>
    <w:rsid w:val="30D971C3"/>
    <w:rsid w:val="30E15C05"/>
    <w:rsid w:val="310743DA"/>
    <w:rsid w:val="31235164"/>
    <w:rsid w:val="31274B61"/>
    <w:rsid w:val="31303B45"/>
    <w:rsid w:val="314B29C9"/>
    <w:rsid w:val="314C7E27"/>
    <w:rsid w:val="31713760"/>
    <w:rsid w:val="318761EC"/>
    <w:rsid w:val="31986FB8"/>
    <w:rsid w:val="31C75EB2"/>
    <w:rsid w:val="31D16A7B"/>
    <w:rsid w:val="31E76AA2"/>
    <w:rsid w:val="32144BB9"/>
    <w:rsid w:val="322D6B74"/>
    <w:rsid w:val="323406C8"/>
    <w:rsid w:val="323C0A4B"/>
    <w:rsid w:val="3265420A"/>
    <w:rsid w:val="32A81084"/>
    <w:rsid w:val="32D23B02"/>
    <w:rsid w:val="32D70991"/>
    <w:rsid w:val="32F81DE5"/>
    <w:rsid w:val="33082E3F"/>
    <w:rsid w:val="3353526D"/>
    <w:rsid w:val="33863DDA"/>
    <w:rsid w:val="33AA75FC"/>
    <w:rsid w:val="33C313FB"/>
    <w:rsid w:val="33DA7A39"/>
    <w:rsid w:val="33DC14FA"/>
    <w:rsid w:val="33E70810"/>
    <w:rsid w:val="33ED6F82"/>
    <w:rsid w:val="343A32F4"/>
    <w:rsid w:val="3474193F"/>
    <w:rsid w:val="34764C1F"/>
    <w:rsid w:val="34C41960"/>
    <w:rsid w:val="34EA455F"/>
    <w:rsid w:val="34F34C56"/>
    <w:rsid w:val="351A530D"/>
    <w:rsid w:val="351E2D6A"/>
    <w:rsid w:val="35272246"/>
    <w:rsid w:val="3537338E"/>
    <w:rsid w:val="3553736A"/>
    <w:rsid w:val="35775973"/>
    <w:rsid w:val="357A5788"/>
    <w:rsid w:val="357E183D"/>
    <w:rsid w:val="35A94F1C"/>
    <w:rsid w:val="35D54D39"/>
    <w:rsid w:val="3627358B"/>
    <w:rsid w:val="36530971"/>
    <w:rsid w:val="3653272A"/>
    <w:rsid w:val="36561BAE"/>
    <w:rsid w:val="36610C56"/>
    <w:rsid w:val="366B24CA"/>
    <w:rsid w:val="367E638C"/>
    <w:rsid w:val="36835C88"/>
    <w:rsid w:val="36BE0218"/>
    <w:rsid w:val="370D15CB"/>
    <w:rsid w:val="37124677"/>
    <w:rsid w:val="372C59CB"/>
    <w:rsid w:val="37461986"/>
    <w:rsid w:val="376916D4"/>
    <w:rsid w:val="37857FB5"/>
    <w:rsid w:val="37936E8E"/>
    <w:rsid w:val="37AA009D"/>
    <w:rsid w:val="37AD64D2"/>
    <w:rsid w:val="37D839C4"/>
    <w:rsid w:val="37D94462"/>
    <w:rsid w:val="37F67F7B"/>
    <w:rsid w:val="38095396"/>
    <w:rsid w:val="384C3ED0"/>
    <w:rsid w:val="38541AF8"/>
    <w:rsid w:val="385666E5"/>
    <w:rsid w:val="385A7E3D"/>
    <w:rsid w:val="388D79F7"/>
    <w:rsid w:val="389D747D"/>
    <w:rsid w:val="38BB3F25"/>
    <w:rsid w:val="38C518D3"/>
    <w:rsid w:val="38D2587F"/>
    <w:rsid w:val="38DB70E7"/>
    <w:rsid w:val="38DF1000"/>
    <w:rsid w:val="38E4433C"/>
    <w:rsid w:val="38E52E0C"/>
    <w:rsid w:val="39001F99"/>
    <w:rsid w:val="391B0E6C"/>
    <w:rsid w:val="391C32AC"/>
    <w:rsid w:val="39387CA2"/>
    <w:rsid w:val="394205D8"/>
    <w:rsid w:val="395025CC"/>
    <w:rsid w:val="39746232"/>
    <w:rsid w:val="39B558EA"/>
    <w:rsid w:val="39DA6441"/>
    <w:rsid w:val="39E7052C"/>
    <w:rsid w:val="39F52261"/>
    <w:rsid w:val="3A006510"/>
    <w:rsid w:val="3A0562C0"/>
    <w:rsid w:val="3A080B60"/>
    <w:rsid w:val="3A1348AB"/>
    <w:rsid w:val="3A186A7F"/>
    <w:rsid w:val="3A2A5408"/>
    <w:rsid w:val="3A5D7884"/>
    <w:rsid w:val="3A7D77A0"/>
    <w:rsid w:val="3A920424"/>
    <w:rsid w:val="3AA72846"/>
    <w:rsid w:val="3AD16F1E"/>
    <w:rsid w:val="3AD46E38"/>
    <w:rsid w:val="3AD76784"/>
    <w:rsid w:val="3AEA792D"/>
    <w:rsid w:val="3AFB6916"/>
    <w:rsid w:val="3B146091"/>
    <w:rsid w:val="3B192EFF"/>
    <w:rsid w:val="3B58116A"/>
    <w:rsid w:val="3B5C14A2"/>
    <w:rsid w:val="3B787D9D"/>
    <w:rsid w:val="3B871F58"/>
    <w:rsid w:val="3B8752E3"/>
    <w:rsid w:val="3BAE5DA4"/>
    <w:rsid w:val="3BCE25E6"/>
    <w:rsid w:val="3C0E18DA"/>
    <w:rsid w:val="3C1222BB"/>
    <w:rsid w:val="3C135B1D"/>
    <w:rsid w:val="3C1B106D"/>
    <w:rsid w:val="3C207F25"/>
    <w:rsid w:val="3C272D4A"/>
    <w:rsid w:val="3C2776F1"/>
    <w:rsid w:val="3C39375A"/>
    <w:rsid w:val="3C3D0825"/>
    <w:rsid w:val="3C600400"/>
    <w:rsid w:val="3C7962D9"/>
    <w:rsid w:val="3CB62935"/>
    <w:rsid w:val="3CEA2ACF"/>
    <w:rsid w:val="3D0C77C5"/>
    <w:rsid w:val="3D247EF5"/>
    <w:rsid w:val="3D2C5209"/>
    <w:rsid w:val="3D332398"/>
    <w:rsid w:val="3D3B02C6"/>
    <w:rsid w:val="3D4C47BD"/>
    <w:rsid w:val="3D7811AB"/>
    <w:rsid w:val="3D924C2F"/>
    <w:rsid w:val="3DA27F9B"/>
    <w:rsid w:val="3DE316BA"/>
    <w:rsid w:val="3E0301D5"/>
    <w:rsid w:val="3E0B162D"/>
    <w:rsid w:val="3E284937"/>
    <w:rsid w:val="3E337DCB"/>
    <w:rsid w:val="3E3443C1"/>
    <w:rsid w:val="3E46434D"/>
    <w:rsid w:val="3E6842C3"/>
    <w:rsid w:val="3E70034F"/>
    <w:rsid w:val="3E78208C"/>
    <w:rsid w:val="3EA666D0"/>
    <w:rsid w:val="3EA7753D"/>
    <w:rsid w:val="3EAE72F5"/>
    <w:rsid w:val="3EBE0387"/>
    <w:rsid w:val="3EF87796"/>
    <w:rsid w:val="3F00274D"/>
    <w:rsid w:val="3F27589B"/>
    <w:rsid w:val="3F3618F0"/>
    <w:rsid w:val="3F6F78D3"/>
    <w:rsid w:val="3F7156F5"/>
    <w:rsid w:val="3F880463"/>
    <w:rsid w:val="3FC14E74"/>
    <w:rsid w:val="3FFD4D17"/>
    <w:rsid w:val="401C2DD8"/>
    <w:rsid w:val="40275E65"/>
    <w:rsid w:val="402C5474"/>
    <w:rsid w:val="404A6865"/>
    <w:rsid w:val="405353B9"/>
    <w:rsid w:val="40587089"/>
    <w:rsid w:val="40747DB1"/>
    <w:rsid w:val="40BD25B1"/>
    <w:rsid w:val="40CA3013"/>
    <w:rsid w:val="40D63259"/>
    <w:rsid w:val="415F580B"/>
    <w:rsid w:val="416378A4"/>
    <w:rsid w:val="41BC1F10"/>
    <w:rsid w:val="41BD1FAC"/>
    <w:rsid w:val="41C95079"/>
    <w:rsid w:val="41E9571B"/>
    <w:rsid w:val="42172B95"/>
    <w:rsid w:val="424B3AFB"/>
    <w:rsid w:val="425B310C"/>
    <w:rsid w:val="427B7A96"/>
    <w:rsid w:val="428A2A07"/>
    <w:rsid w:val="42A01E4D"/>
    <w:rsid w:val="42DF0D61"/>
    <w:rsid w:val="42E250CC"/>
    <w:rsid w:val="42E3216A"/>
    <w:rsid w:val="42E6415B"/>
    <w:rsid w:val="42E65104"/>
    <w:rsid w:val="42E945F8"/>
    <w:rsid w:val="42EB4895"/>
    <w:rsid w:val="42F85404"/>
    <w:rsid w:val="430E52B5"/>
    <w:rsid w:val="431C56B6"/>
    <w:rsid w:val="4333760C"/>
    <w:rsid w:val="434D3A6A"/>
    <w:rsid w:val="436A6430"/>
    <w:rsid w:val="43765341"/>
    <w:rsid w:val="437B4640"/>
    <w:rsid w:val="43805C1F"/>
    <w:rsid w:val="4392515E"/>
    <w:rsid w:val="43AF7482"/>
    <w:rsid w:val="43CF0940"/>
    <w:rsid w:val="43D73A31"/>
    <w:rsid w:val="43DB0FB7"/>
    <w:rsid w:val="442A2B83"/>
    <w:rsid w:val="442A2F4E"/>
    <w:rsid w:val="443178FA"/>
    <w:rsid w:val="447E7965"/>
    <w:rsid w:val="447F0B36"/>
    <w:rsid w:val="44B02622"/>
    <w:rsid w:val="44C85878"/>
    <w:rsid w:val="44D4116C"/>
    <w:rsid w:val="45175D1A"/>
    <w:rsid w:val="451B40CB"/>
    <w:rsid w:val="451D4A8F"/>
    <w:rsid w:val="45252F0E"/>
    <w:rsid w:val="45332A38"/>
    <w:rsid w:val="45513D03"/>
    <w:rsid w:val="45931655"/>
    <w:rsid w:val="459973AF"/>
    <w:rsid w:val="45A42927"/>
    <w:rsid w:val="45B61DB8"/>
    <w:rsid w:val="45C73D42"/>
    <w:rsid w:val="45E60474"/>
    <w:rsid w:val="45F36B68"/>
    <w:rsid w:val="460812E1"/>
    <w:rsid w:val="464636F3"/>
    <w:rsid w:val="46886E13"/>
    <w:rsid w:val="46AF06D2"/>
    <w:rsid w:val="46BF6B58"/>
    <w:rsid w:val="46CA5FA5"/>
    <w:rsid w:val="46CE0949"/>
    <w:rsid w:val="46DF0353"/>
    <w:rsid w:val="47080310"/>
    <w:rsid w:val="473D2DF6"/>
    <w:rsid w:val="4741302E"/>
    <w:rsid w:val="474749EA"/>
    <w:rsid w:val="476756F9"/>
    <w:rsid w:val="47756B56"/>
    <w:rsid w:val="478F3EA7"/>
    <w:rsid w:val="479779C7"/>
    <w:rsid w:val="47B84693"/>
    <w:rsid w:val="47BE62C6"/>
    <w:rsid w:val="47FF6937"/>
    <w:rsid w:val="480039A2"/>
    <w:rsid w:val="482339B2"/>
    <w:rsid w:val="482B5C12"/>
    <w:rsid w:val="48315EAC"/>
    <w:rsid w:val="4850327F"/>
    <w:rsid w:val="487C7DD2"/>
    <w:rsid w:val="487F2B21"/>
    <w:rsid w:val="489E2C81"/>
    <w:rsid w:val="48A01930"/>
    <w:rsid w:val="48C34F8C"/>
    <w:rsid w:val="48D67BF0"/>
    <w:rsid w:val="48E766F3"/>
    <w:rsid w:val="48F86953"/>
    <w:rsid w:val="491D2A8A"/>
    <w:rsid w:val="492C3528"/>
    <w:rsid w:val="4935547D"/>
    <w:rsid w:val="49561B50"/>
    <w:rsid w:val="49A17919"/>
    <w:rsid w:val="49A81A97"/>
    <w:rsid w:val="49B067D0"/>
    <w:rsid w:val="49B4651F"/>
    <w:rsid w:val="49C41D6E"/>
    <w:rsid w:val="49E2099E"/>
    <w:rsid w:val="49E329B9"/>
    <w:rsid w:val="4A126708"/>
    <w:rsid w:val="4A206899"/>
    <w:rsid w:val="4A31249C"/>
    <w:rsid w:val="4A69389D"/>
    <w:rsid w:val="4A832170"/>
    <w:rsid w:val="4A9A1314"/>
    <w:rsid w:val="4A9C1DE8"/>
    <w:rsid w:val="4AA012C3"/>
    <w:rsid w:val="4AB36DAC"/>
    <w:rsid w:val="4AC050CF"/>
    <w:rsid w:val="4ADC3CB2"/>
    <w:rsid w:val="4ADE55C5"/>
    <w:rsid w:val="4AE52AB4"/>
    <w:rsid w:val="4AE83716"/>
    <w:rsid w:val="4B232363"/>
    <w:rsid w:val="4B294CD2"/>
    <w:rsid w:val="4B481546"/>
    <w:rsid w:val="4B4B7C45"/>
    <w:rsid w:val="4B553E21"/>
    <w:rsid w:val="4B723FBE"/>
    <w:rsid w:val="4B750758"/>
    <w:rsid w:val="4B7B310B"/>
    <w:rsid w:val="4B963CF0"/>
    <w:rsid w:val="4B971D44"/>
    <w:rsid w:val="4BA3174B"/>
    <w:rsid w:val="4C0946D3"/>
    <w:rsid w:val="4C1A1319"/>
    <w:rsid w:val="4C2A6018"/>
    <w:rsid w:val="4C9C78EB"/>
    <w:rsid w:val="4CB56BB4"/>
    <w:rsid w:val="4CB911C2"/>
    <w:rsid w:val="4CE6400E"/>
    <w:rsid w:val="4CF906E8"/>
    <w:rsid w:val="4D24345F"/>
    <w:rsid w:val="4D250453"/>
    <w:rsid w:val="4D4603CE"/>
    <w:rsid w:val="4D5048A0"/>
    <w:rsid w:val="4D5670A7"/>
    <w:rsid w:val="4D5A2DF0"/>
    <w:rsid w:val="4D5C3630"/>
    <w:rsid w:val="4D5D1F52"/>
    <w:rsid w:val="4D934B66"/>
    <w:rsid w:val="4D9913BC"/>
    <w:rsid w:val="4D9A3D6D"/>
    <w:rsid w:val="4DB27309"/>
    <w:rsid w:val="4DCB4B1A"/>
    <w:rsid w:val="4DFF0B04"/>
    <w:rsid w:val="4E02739C"/>
    <w:rsid w:val="4E1C29D4"/>
    <w:rsid w:val="4E390E43"/>
    <w:rsid w:val="4E4F025B"/>
    <w:rsid w:val="4E540763"/>
    <w:rsid w:val="4E5464B7"/>
    <w:rsid w:val="4E5F55B1"/>
    <w:rsid w:val="4E6A3542"/>
    <w:rsid w:val="4E722871"/>
    <w:rsid w:val="4E883D9A"/>
    <w:rsid w:val="4E9910FA"/>
    <w:rsid w:val="4E9C5ED1"/>
    <w:rsid w:val="4EA41181"/>
    <w:rsid w:val="4EB0364A"/>
    <w:rsid w:val="4EB53435"/>
    <w:rsid w:val="4EBD39FA"/>
    <w:rsid w:val="4ECC5B7A"/>
    <w:rsid w:val="4ED24F51"/>
    <w:rsid w:val="4F2018B5"/>
    <w:rsid w:val="4F5D7111"/>
    <w:rsid w:val="4F8E36B5"/>
    <w:rsid w:val="4F953FA9"/>
    <w:rsid w:val="4F9E4DA9"/>
    <w:rsid w:val="4FA45F82"/>
    <w:rsid w:val="4FB22B51"/>
    <w:rsid w:val="4FBD3011"/>
    <w:rsid w:val="4FC20AA7"/>
    <w:rsid w:val="4FCC2067"/>
    <w:rsid w:val="4FD07F1A"/>
    <w:rsid w:val="4FE80B78"/>
    <w:rsid w:val="50387C34"/>
    <w:rsid w:val="505E6088"/>
    <w:rsid w:val="505F1EFD"/>
    <w:rsid w:val="5093798C"/>
    <w:rsid w:val="509D1BD8"/>
    <w:rsid w:val="50A76FA0"/>
    <w:rsid w:val="50B25872"/>
    <w:rsid w:val="50B70587"/>
    <w:rsid w:val="50C0641A"/>
    <w:rsid w:val="50CC5E2B"/>
    <w:rsid w:val="50D67F53"/>
    <w:rsid w:val="510520CA"/>
    <w:rsid w:val="51080DF0"/>
    <w:rsid w:val="51320ADA"/>
    <w:rsid w:val="513D1102"/>
    <w:rsid w:val="51975BCA"/>
    <w:rsid w:val="519A03E7"/>
    <w:rsid w:val="51BC07BA"/>
    <w:rsid w:val="51DA6048"/>
    <w:rsid w:val="51ED37A4"/>
    <w:rsid w:val="523429E2"/>
    <w:rsid w:val="523978C1"/>
    <w:rsid w:val="524349D3"/>
    <w:rsid w:val="524D663E"/>
    <w:rsid w:val="52506890"/>
    <w:rsid w:val="525070F0"/>
    <w:rsid w:val="52B26CA0"/>
    <w:rsid w:val="52DB10B0"/>
    <w:rsid w:val="52EC7E76"/>
    <w:rsid w:val="53014075"/>
    <w:rsid w:val="53030BD5"/>
    <w:rsid w:val="53030E4D"/>
    <w:rsid w:val="53236F6F"/>
    <w:rsid w:val="535574E3"/>
    <w:rsid w:val="53652843"/>
    <w:rsid w:val="53706852"/>
    <w:rsid w:val="53725C6A"/>
    <w:rsid w:val="53937FC3"/>
    <w:rsid w:val="539661FE"/>
    <w:rsid w:val="539D45B7"/>
    <w:rsid w:val="53B034DF"/>
    <w:rsid w:val="53B13BBE"/>
    <w:rsid w:val="53DC1D25"/>
    <w:rsid w:val="53DE1396"/>
    <w:rsid w:val="53E671A8"/>
    <w:rsid w:val="54527ADB"/>
    <w:rsid w:val="546B3D93"/>
    <w:rsid w:val="54973D32"/>
    <w:rsid w:val="54992FD0"/>
    <w:rsid w:val="54B5351F"/>
    <w:rsid w:val="54BB03D8"/>
    <w:rsid w:val="54CD3AD9"/>
    <w:rsid w:val="54DE0F4F"/>
    <w:rsid w:val="54E53259"/>
    <w:rsid w:val="54E94176"/>
    <w:rsid w:val="54EE0E0D"/>
    <w:rsid w:val="54F15445"/>
    <w:rsid w:val="54F54EB4"/>
    <w:rsid w:val="552E609C"/>
    <w:rsid w:val="554E12E4"/>
    <w:rsid w:val="558F58F4"/>
    <w:rsid w:val="55AA4D69"/>
    <w:rsid w:val="55AC269A"/>
    <w:rsid w:val="55B769EE"/>
    <w:rsid w:val="55ED0CCF"/>
    <w:rsid w:val="560B1770"/>
    <w:rsid w:val="562F2B63"/>
    <w:rsid w:val="563D07A6"/>
    <w:rsid w:val="56692AD3"/>
    <w:rsid w:val="566C7071"/>
    <w:rsid w:val="568B360E"/>
    <w:rsid w:val="56927828"/>
    <w:rsid w:val="569C1CB1"/>
    <w:rsid w:val="56A07286"/>
    <w:rsid w:val="56CF3A85"/>
    <w:rsid w:val="570B7203"/>
    <w:rsid w:val="572710CC"/>
    <w:rsid w:val="57787D9B"/>
    <w:rsid w:val="577C1E80"/>
    <w:rsid w:val="57803FD4"/>
    <w:rsid w:val="57D42AC2"/>
    <w:rsid w:val="57E91811"/>
    <w:rsid w:val="57E95FA5"/>
    <w:rsid w:val="580469B3"/>
    <w:rsid w:val="584119B5"/>
    <w:rsid w:val="589E645A"/>
    <w:rsid w:val="58BE3005"/>
    <w:rsid w:val="58C21676"/>
    <w:rsid w:val="58D26E5B"/>
    <w:rsid w:val="58E24358"/>
    <w:rsid w:val="58ED664B"/>
    <w:rsid w:val="58F05AD9"/>
    <w:rsid w:val="58FF717A"/>
    <w:rsid w:val="595B1622"/>
    <w:rsid w:val="596D1465"/>
    <w:rsid w:val="597060FA"/>
    <w:rsid w:val="59882C7F"/>
    <w:rsid w:val="59CB11E0"/>
    <w:rsid w:val="59FD63CE"/>
    <w:rsid w:val="59FE22FB"/>
    <w:rsid w:val="59FF00B8"/>
    <w:rsid w:val="5A144EA7"/>
    <w:rsid w:val="5A1A213E"/>
    <w:rsid w:val="5A262560"/>
    <w:rsid w:val="5A3D1DF6"/>
    <w:rsid w:val="5A443F9B"/>
    <w:rsid w:val="5A5373EA"/>
    <w:rsid w:val="5A812E59"/>
    <w:rsid w:val="5ABA7460"/>
    <w:rsid w:val="5AE76118"/>
    <w:rsid w:val="5AF779F8"/>
    <w:rsid w:val="5B092737"/>
    <w:rsid w:val="5B110337"/>
    <w:rsid w:val="5B362996"/>
    <w:rsid w:val="5B6D6F6F"/>
    <w:rsid w:val="5B8842A7"/>
    <w:rsid w:val="5B9C24F1"/>
    <w:rsid w:val="5BB46CAC"/>
    <w:rsid w:val="5BE27EF6"/>
    <w:rsid w:val="5BE45CED"/>
    <w:rsid w:val="5BF37197"/>
    <w:rsid w:val="5BF709E8"/>
    <w:rsid w:val="5C1458E6"/>
    <w:rsid w:val="5C47655F"/>
    <w:rsid w:val="5C5C4D68"/>
    <w:rsid w:val="5C647AFC"/>
    <w:rsid w:val="5C7117FC"/>
    <w:rsid w:val="5CE24DE9"/>
    <w:rsid w:val="5CEF7956"/>
    <w:rsid w:val="5CFA1CEF"/>
    <w:rsid w:val="5D076258"/>
    <w:rsid w:val="5D2C49EA"/>
    <w:rsid w:val="5D3A2E77"/>
    <w:rsid w:val="5D713672"/>
    <w:rsid w:val="5D730EDB"/>
    <w:rsid w:val="5DA42103"/>
    <w:rsid w:val="5DB222EE"/>
    <w:rsid w:val="5DB73653"/>
    <w:rsid w:val="5DE44F8E"/>
    <w:rsid w:val="5DE46744"/>
    <w:rsid w:val="5DF842AB"/>
    <w:rsid w:val="5E0467B1"/>
    <w:rsid w:val="5E0C6A84"/>
    <w:rsid w:val="5E146DCB"/>
    <w:rsid w:val="5E1E0FE7"/>
    <w:rsid w:val="5E2F576D"/>
    <w:rsid w:val="5E331DA0"/>
    <w:rsid w:val="5E3C4560"/>
    <w:rsid w:val="5E42154B"/>
    <w:rsid w:val="5E4274C8"/>
    <w:rsid w:val="5E785E71"/>
    <w:rsid w:val="5E88739E"/>
    <w:rsid w:val="5E977047"/>
    <w:rsid w:val="5ED97069"/>
    <w:rsid w:val="5F0F4FDF"/>
    <w:rsid w:val="5F230F76"/>
    <w:rsid w:val="5F2447E2"/>
    <w:rsid w:val="5F5A7800"/>
    <w:rsid w:val="5F6B3A16"/>
    <w:rsid w:val="5F864151"/>
    <w:rsid w:val="5FB2487D"/>
    <w:rsid w:val="5FC67E72"/>
    <w:rsid w:val="5FFE0C78"/>
    <w:rsid w:val="5FFF4E0A"/>
    <w:rsid w:val="6012356D"/>
    <w:rsid w:val="602A170A"/>
    <w:rsid w:val="602E6168"/>
    <w:rsid w:val="60335075"/>
    <w:rsid w:val="604D7FDF"/>
    <w:rsid w:val="605855B2"/>
    <w:rsid w:val="605A28BD"/>
    <w:rsid w:val="605E7B85"/>
    <w:rsid w:val="60626D34"/>
    <w:rsid w:val="607D489E"/>
    <w:rsid w:val="608D6E13"/>
    <w:rsid w:val="609865C2"/>
    <w:rsid w:val="60AA1412"/>
    <w:rsid w:val="60D969BE"/>
    <w:rsid w:val="60F25D0D"/>
    <w:rsid w:val="61046469"/>
    <w:rsid w:val="610B183C"/>
    <w:rsid w:val="6118376D"/>
    <w:rsid w:val="611F436F"/>
    <w:rsid w:val="612E18F3"/>
    <w:rsid w:val="61353E0F"/>
    <w:rsid w:val="61613AC5"/>
    <w:rsid w:val="61BA4586"/>
    <w:rsid w:val="61CA3B44"/>
    <w:rsid w:val="61D640C8"/>
    <w:rsid w:val="62056C54"/>
    <w:rsid w:val="621D5FD0"/>
    <w:rsid w:val="62541811"/>
    <w:rsid w:val="62553A9B"/>
    <w:rsid w:val="627535C2"/>
    <w:rsid w:val="62A36DC8"/>
    <w:rsid w:val="62A954D2"/>
    <w:rsid w:val="62BE327F"/>
    <w:rsid w:val="62C30561"/>
    <w:rsid w:val="62D376AD"/>
    <w:rsid w:val="632817FB"/>
    <w:rsid w:val="636C7D85"/>
    <w:rsid w:val="63722F67"/>
    <w:rsid w:val="63E2484B"/>
    <w:rsid w:val="63E71BA5"/>
    <w:rsid w:val="63FD0A03"/>
    <w:rsid w:val="640273E1"/>
    <w:rsid w:val="64136119"/>
    <w:rsid w:val="64410586"/>
    <w:rsid w:val="6445786C"/>
    <w:rsid w:val="64471220"/>
    <w:rsid w:val="647734A0"/>
    <w:rsid w:val="64897997"/>
    <w:rsid w:val="648B09B1"/>
    <w:rsid w:val="64AB0C11"/>
    <w:rsid w:val="64E57B6C"/>
    <w:rsid w:val="64FA4ED5"/>
    <w:rsid w:val="65146FCA"/>
    <w:rsid w:val="651E10CC"/>
    <w:rsid w:val="652A6FDB"/>
    <w:rsid w:val="6567607D"/>
    <w:rsid w:val="65687CCA"/>
    <w:rsid w:val="65720049"/>
    <w:rsid w:val="65BA32BA"/>
    <w:rsid w:val="65C02314"/>
    <w:rsid w:val="65C4589D"/>
    <w:rsid w:val="65C50B76"/>
    <w:rsid w:val="65E006FC"/>
    <w:rsid w:val="66181423"/>
    <w:rsid w:val="66225037"/>
    <w:rsid w:val="665068FA"/>
    <w:rsid w:val="66533E04"/>
    <w:rsid w:val="665A00E6"/>
    <w:rsid w:val="666653A9"/>
    <w:rsid w:val="6685543F"/>
    <w:rsid w:val="66C13888"/>
    <w:rsid w:val="66C97765"/>
    <w:rsid w:val="66CC181B"/>
    <w:rsid w:val="66CE0816"/>
    <w:rsid w:val="6710356F"/>
    <w:rsid w:val="671A3762"/>
    <w:rsid w:val="67403E0E"/>
    <w:rsid w:val="674343B8"/>
    <w:rsid w:val="679F1EC8"/>
    <w:rsid w:val="67AC14B0"/>
    <w:rsid w:val="67BF53A9"/>
    <w:rsid w:val="67C901BB"/>
    <w:rsid w:val="67E824DC"/>
    <w:rsid w:val="68071CEC"/>
    <w:rsid w:val="680B634F"/>
    <w:rsid w:val="68106E55"/>
    <w:rsid w:val="68223FDD"/>
    <w:rsid w:val="68567627"/>
    <w:rsid w:val="68E25912"/>
    <w:rsid w:val="68E26FC0"/>
    <w:rsid w:val="68E63BC2"/>
    <w:rsid w:val="68F0088D"/>
    <w:rsid w:val="68F4424D"/>
    <w:rsid w:val="68FD6560"/>
    <w:rsid w:val="690A3030"/>
    <w:rsid w:val="69247457"/>
    <w:rsid w:val="69422667"/>
    <w:rsid w:val="69486D80"/>
    <w:rsid w:val="695E5261"/>
    <w:rsid w:val="697E1667"/>
    <w:rsid w:val="698A4060"/>
    <w:rsid w:val="69927446"/>
    <w:rsid w:val="69C02BC4"/>
    <w:rsid w:val="69C65920"/>
    <w:rsid w:val="69E14866"/>
    <w:rsid w:val="69E75AE7"/>
    <w:rsid w:val="6A076CBB"/>
    <w:rsid w:val="6A0E5DBC"/>
    <w:rsid w:val="6A2029CD"/>
    <w:rsid w:val="6A4B5DE4"/>
    <w:rsid w:val="6A6E1092"/>
    <w:rsid w:val="6A7F1D82"/>
    <w:rsid w:val="6A8838D5"/>
    <w:rsid w:val="6A941E18"/>
    <w:rsid w:val="6A9D4848"/>
    <w:rsid w:val="6ADF0BB9"/>
    <w:rsid w:val="6B1242F8"/>
    <w:rsid w:val="6B21444D"/>
    <w:rsid w:val="6B24407D"/>
    <w:rsid w:val="6B2E1AB1"/>
    <w:rsid w:val="6B39025F"/>
    <w:rsid w:val="6B637A3C"/>
    <w:rsid w:val="6B8556C4"/>
    <w:rsid w:val="6BA90006"/>
    <w:rsid w:val="6BB603FF"/>
    <w:rsid w:val="6BBD2674"/>
    <w:rsid w:val="6BC5117A"/>
    <w:rsid w:val="6BF276A3"/>
    <w:rsid w:val="6C161E18"/>
    <w:rsid w:val="6C7C228A"/>
    <w:rsid w:val="6CA2239A"/>
    <w:rsid w:val="6CBB08C6"/>
    <w:rsid w:val="6CBF175E"/>
    <w:rsid w:val="6CD2125B"/>
    <w:rsid w:val="6D116B85"/>
    <w:rsid w:val="6D125851"/>
    <w:rsid w:val="6D126DAD"/>
    <w:rsid w:val="6D2A351D"/>
    <w:rsid w:val="6D2C5AA6"/>
    <w:rsid w:val="6D2F3DBA"/>
    <w:rsid w:val="6D355CF9"/>
    <w:rsid w:val="6D455E38"/>
    <w:rsid w:val="6D8662F8"/>
    <w:rsid w:val="6D917944"/>
    <w:rsid w:val="6DBC68B8"/>
    <w:rsid w:val="6E0B5F73"/>
    <w:rsid w:val="6E1677B4"/>
    <w:rsid w:val="6E3431D3"/>
    <w:rsid w:val="6E353788"/>
    <w:rsid w:val="6E815E20"/>
    <w:rsid w:val="6E856F1F"/>
    <w:rsid w:val="6EBA3349"/>
    <w:rsid w:val="6EBD63C3"/>
    <w:rsid w:val="6ECD58F9"/>
    <w:rsid w:val="6F2A3A59"/>
    <w:rsid w:val="6F4C7557"/>
    <w:rsid w:val="6F602316"/>
    <w:rsid w:val="6F7E3097"/>
    <w:rsid w:val="6F827E1F"/>
    <w:rsid w:val="6F8742BB"/>
    <w:rsid w:val="6FBE33DD"/>
    <w:rsid w:val="6FC47355"/>
    <w:rsid w:val="700B342C"/>
    <w:rsid w:val="701102D6"/>
    <w:rsid w:val="7014654C"/>
    <w:rsid w:val="701B21DE"/>
    <w:rsid w:val="702F3095"/>
    <w:rsid w:val="70340B6B"/>
    <w:rsid w:val="70372A63"/>
    <w:rsid w:val="70472197"/>
    <w:rsid w:val="70474C33"/>
    <w:rsid w:val="70695629"/>
    <w:rsid w:val="70B14DA6"/>
    <w:rsid w:val="70B51586"/>
    <w:rsid w:val="70DC7DEA"/>
    <w:rsid w:val="70FA14DC"/>
    <w:rsid w:val="70FC6D5A"/>
    <w:rsid w:val="71516933"/>
    <w:rsid w:val="717C2C3C"/>
    <w:rsid w:val="71C9438B"/>
    <w:rsid w:val="71EB232F"/>
    <w:rsid w:val="71F117FD"/>
    <w:rsid w:val="71F22395"/>
    <w:rsid w:val="72182FA2"/>
    <w:rsid w:val="725B4E24"/>
    <w:rsid w:val="727B1DFF"/>
    <w:rsid w:val="72AA1588"/>
    <w:rsid w:val="72D01829"/>
    <w:rsid w:val="72E74D21"/>
    <w:rsid w:val="72F65E47"/>
    <w:rsid w:val="73010CD0"/>
    <w:rsid w:val="73167008"/>
    <w:rsid w:val="73193C99"/>
    <w:rsid w:val="732003D0"/>
    <w:rsid w:val="73282DB6"/>
    <w:rsid w:val="732F3A9D"/>
    <w:rsid w:val="7336526B"/>
    <w:rsid w:val="733F0D8F"/>
    <w:rsid w:val="735214BE"/>
    <w:rsid w:val="735C28DB"/>
    <w:rsid w:val="736E713E"/>
    <w:rsid w:val="73785D89"/>
    <w:rsid w:val="737D0512"/>
    <w:rsid w:val="73821076"/>
    <w:rsid w:val="739C2C98"/>
    <w:rsid w:val="73AA2969"/>
    <w:rsid w:val="73AA797E"/>
    <w:rsid w:val="73AC3A40"/>
    <w:rsid w:val="73B22405"/>
    <w:rsid w:val="73CF1F2D"/>
    <w:rsid w:val="73FC1BEE"/>
    <w:rsid w:val="74041C4F"/>
    <w:rsid w:val="744A0BC6"/>
    <w:rsid w:val="744D667C"/>
    <w:rsid w:val="74542A7A"/>
    <w:rsid w:val="74822716"/>
    <w:rsid w:val="7487649B"/>
    <w:rsid w:val="74A77D79"/>
    <w:rsid w:val="74BB2697"/>
    <w:rsid w:val="74BB2C8C"/>
    <w:rsid w:val="74C11593"/>
    <w:rsid w:val="74C85670"/>
    <w:rsid w:val="74CD3516"/>
    <w:rsid w:val="74EE2280"/>
    <w:rsid w:val="750D3D28"/>
    <w:rsid w:val="752D76E1"/>
    <w:rsid w:val="753B479F"/>
    <w:rsid w:val="75422BAC"/>
    <w:rsid w:val="7544415F"/>
    <w:rsid w:val="7548217D"/>
    <w:rsid w:val="755F7753"/>
    <w:rsid w:val="756176A1"/>
    <w:rsid w:val="757C43C3"/>
    <w:rsid w:val="757D2A12"/>
    <w:rsid w:val="75956C8B"/>
    <w:rsid w:val="760C31AA"/>
    <w:rsid w:val="76205429"/>
    <w:rsid w:val="762D0A14"/>
    <w:rsid w:val="76471064"/>
    <w:rsid w:val="76661DD9"/>
    <w:rsid w:val="76672BD9"/>
    <w:rsid w:val="7678122F"/>
    <w:rsid w:val="76956B8F"/>
    <w:rsid w:val="76D45B66"/>
    <w:rsid w:val="76E46F47"/>
    <w:rsid w:val="76FE2417"/>
    <w:rsid w:val="770A7CE0"/>
    <w:rsid w:val="771A6B24"/>
    <w:rsid w:val="771E653D"/>
    <w:rsid w:val="77385E93"/>
    <w:rsid w:val="774D14A7"/>
    <w:rsid w:val="775F6649"/>
    <w:rsid w:val="7764686F"/>
    <w:rsid w:val="7781669B"/>
    <w:rsid w:val="77B8340A"/>
    <w:rsid w:val="77DB72D8"/>
    <w:rsid w:val="77E32AC1"/>
    <w:rsid w:val="77E43F55"/>
    <w:rsid w:val="77EA5CA7"/>
    <w:rsid w:val="77F0159F"/>
    <w:rsid w:val="78471A8C"/>
    <w:rsid w:val="784964DE"/>
    <w:rsid w:val="78596B9E"/>
    <w:rsid w:val="786C50D0"/>
    <w:rsid w:val="788E189C"/>
    <w:rsid w:val="788E700F"/>
    <w:rsid w:val="78A44D2E"/>
    <w:rsid w:val="78C73050"/>
    <w:rsid w:val="78DA3C5F"/>
    <w:rsid w:val="78F61BDB"/>
    <w:rsid w:val="798C53AB"/>
    <w:rsid w:val="79A14BA7"/>
    <w:rsid w:val="79D00993"/>
    <w:rsid w:val="79D85CE8"/>
    <w:rsid w:val="79E13B0D"/>
    <w:rsid w:val="7A0C710C"/>
    <w:rsid w:val="7A1C01BF"/>
    <w:rsid w:val="7A1E0BB7"/>
    <w:rsid w:val="7A322C02"/>
    <w:rsid w:val="7A3C09D6"/>
    <w:rsid w:val="7A60114C"/>
    <w:rsid w:val="7A650DCA"/>
    <w:rsid w:val="7A7B24FD"/>
    <w:rsid w:val="7A897DFE"/>
    <w:rsid w:val="7A904B2A"/>
    <w:rsid w:val="7A9279F6"/>
    <w:rsid w:val="7A956369"/>
    <w:rsid w:val="7A986E29"/>
    <w:rsid w:val="7AB451B9"/>
    <w:rsid w:val="7AC33E5C"/>
    <w:rsid w:val="7ACB31B2"/>
    <w:rsid w:val="7AF16E13"/>
    <w:rsid w:val="7AF65F04"/>
    <w:rsid w:val="7AFF017C"/>
    <w:rsid w:val="7B072853"/>
    <w:rsid w:val="7B780939"/>
    <w:rsid w:val="7B82674E"/>
    <w:rsid w:val="7B8332A3"/>
    <w:rsid w:val="7B8F6832"/>
    <w:rsid w:val="7BA10F88"/>
    <w:rsid w:val="7BB76142"/>
    <w:rsid w:val="7BC57958"/>
    <w:rsid w:val="7BC63FAD"/>
    <w:rsid w:val="7BF86312"/>
    <w:rsid w:val="7C020984"/>
    <w:rsid w:val="7C3516F4"/>
    <w:rsid w:val="7C456773"/>
    <w:rsid w:val="7C5009E7"/>
    <w:rsid w:val="7C5C4596"/>
    <w:rsid w:val="7C782806"/>
    <w:rsid w:val="7C81587D"/>
    <w:rsid w:val="7C933A0E"/>
    <w:rsid w:val="7CA44252"/>
    <w:rsid w:val="7CC11577"/>
    <w:rsid w:val="7CCB101D"/>
    <w:rsid w:val="7CCB3D36"/>
    <w:rsid w:val="7CFC520A"/>
    <w:rsid w:val="7D107188"/>
    <w:rsid w:val="7D2846D4"/>
    <w:rsid w:val="7D6B2EAC"/>
    <w:rsid w:val="7D8E2F86"/>
    <w:rsid w:val="7D8F5732"/>
    <w:rsid w:val="7DA55362"/>
    <w:rsid w:val="7DB479EE"/>
    <w:rsid w:val="7DCD6635"/>
    <w:rsid w:val="7DD51AC7"/>
    <w:rsid w:val="7DD6409E"/>
    <w:rsid w:val="7DE822E6"/>
    <w:rsid w:val="7DED0184"/>
    <w:rsid w:val="7E2E311D"/>
    <w:rsid w:val="7E30231E"/>
    <w:rsid w:val="7E5A7F2A"/>
    <w:rsid w:val="7E5D1A0F"/>
    <w:rsid w:val="7EE20CE0"/>
    <w:rsid w:val="7EE36967"/>
    <w:rsid w:val="7F0B4BB1"/>
    <w:rsid w:val="7F1575DF"/>
    <w:rsid w:val="7F4108E0"/>
    <w:rsid w:val="7F640686"/>
    <w:rsid w:val="7F961D37"/>
    <w:rsid w:val="7F9663C3"/>
    <w:rsid w:val="7FA16C0A"/>
    <w:rsid w:val="7FA345E5"/>
    <w:rsid w:val="7FA36C3D"/>
    <w:rsid w:val="7FBE0FFC"/>
    <w:rsid w:val="7FBE3A20"/>
    <w:rsid w:val="7FD65346"/>
    <w:rsid w:val="7FFB7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4">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5"/>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5" w:lineRule="auto"/>
      <w:outlineLvl w:val="2"/>
    </w:pPr>
    <w:rPr>
      <w:b/>
      <w:bCs/>
      <w:sz w:val="32"/>
      <w:szCs w:val="32"/>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autoRedefine/>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3">
    <w:name w:val="正文（绿盟科技）"/>
    <w:autoRedefine/>
    <w:qFormat/>
    <w:uiPriority w:val="0"/>
    <w:pPr>
      <w:spacing w:line="300" w:lineRule="auto"/>
    </w:pPr>
    <w:rPr>
      <w:rFonts w:ascii="Arial" w:hAnsi="Arial" w:eastAsia="宋体" w:cs="Times New Roman"/>
      <w:sz w:val="21"/>
      <w:szCs w:val="21"/>
      <w:lang w:val="en-US" w:eastAsia="zh-CN" w:bidi="ar-SA"/>
    </w:rPr>
  </w:style>
  <w:style w:type="paragraph" w:styleId="7">
    <w:name w:val="toc 7"/>
    <w:basedOn w:val="1"/>
    <w:next w:val="1"/>
    <w:qFormat/>
    <w:uiPriority w:val="0"/>
    <w:pPr>
      <w:ind w:left="2520" w:leftChars="1200"/>
    </w:pPr>
  </w:style>
  <w:style w:type="paragraph" w:styleId="8">
    <w:name w:val="Normal Indent"/>
    <w:basedOn w:val="1"/>
    <w:qFormat/>
    <w:uiPriority w:val="0"/>
    <w:pPr>
      <w:ind w:firstLine="200" w:firstLineChars="200"/>
    </w:pPr>
  </w:style>
  <w:style w:type="paragraph" w:styleId="9">
    <w:name w:val="caption"/>
    <w:basedOn w:val="1"/>
    <w:next w:val="1"/>
    <w:qFormat/>
    <w:uiPriority w:val="0"/>
    <w:pPr>
      <w:spacing w:before="152"/>
    </w:pPr>
    <w:rPr>
      <w:rFonts w:ascii="Arial" w:hAnsi="Arial" w:eastAsia="黑体" w:cs="Arial"/>
      <w:kern w:val="0"/>
      <w:sz w:val="20"/>
      <w:szCs w:val="20"/>
    </w:rPr>
  </w:style>
  <w:style w:type="paragraph" w:styleId="10">
    <w:name w:val="Document Map"/>
    <w:basedOn w:val="1"/>
    <w:link w:val="59"/>
    <w:qFormat/>
    <w:uiPriority w:val="0"/>
    <w:rPr>
      <w:rFonts w:ascii="宋体"/>
      <w:sz w:val="18"/>
      <w:szCs w:val="18"/>
    </w:rPr>
  </w:style>
  <w:style w:type="paragraph" w:styleId="11">
    <w:name w:val="annotation text"/>
    <w:basedOn w:val="1"/>
    <w:link w:val="56"/>
    <w:qFormat/>
    <w:uiPriority w:val="0"/>
    <w:pPr>
      <w:jc w:val="left"/>
    </w:pPr>
  </w:style>
  <w:style w:type="paragraph" w:styleId="12">
    <w:name w:val="Body Text"/>
    <w:basedOn w:val="1"/>
    <w:next w:val="1"/>
    <w:link w:val="55"/>
    <w:unhideWhenUsed/>
    <w:qFormat/>
    <w:uiPriority w:val="0"/>
    <w:pPr>
      <w:spacing w:after="120"/>
    </w:pPr>
  </w:style>
  <w:style w:type="paragraph" w:styleId="13">
    <w:name w:val="Body Text Indent"/>
    <w:basedOn w:val="1"/>
    <w:next w:val="1"/>
    <w:qFormat/>
    <w:uiPriority w:val="0"/>
    <w:pPr>
      <w:ind w:firstLine="630"/>
    </w:pPr>
    <w:rPr>
      <w:sz w:val="32"/>
      <w:szCs w:val="20"/>
    </w:rPr>
  </w:style>
  <w:style w:type="paragraph" w:styleId="14">
    <w:name w:val="toc 5"/>
    <w:basedOn w:val="1"/>
    <w:next w:val="1"/>
    <w:qFormat/>
    <w:uiPriority w:val="0"/>
    <w:pPr>
      <w:ind w:left="1680" w:leftChars="800"/>
    </w:pPr>
  </w:style>
  <w:style w:type="paragraph" w:styleId="15">
    <w:name w:val="toc 3"/>
    <w:basedOn w:val="1"/>
    <w:next w:val="1"/>
    <w:qFormat/>
    <w:uiPriority w:val="0"/>
    <w:pPr>
      <w:ind w:left="840" w:leftChars="400"/>
    </w:pPr>
  </w:style>
  <w:style w:type="paragraph" w:styleId="16">
    <w:name w:val="Plain Text"/>
    <w:basedOn w:val="1"/>
    <w:next w:val="1"/>
    <w:qFormat/>
    <w:uiPriority w:val="0"/>
    <w:rPr>
      <w:rFonts w:ascii="宋体" w:hAnsi="Courier New"/>
    </w:rPr>
  </w:style>
  <w:style w:type="paragraph" w:styleId="17">
    <w:name w:val="toc 8"/>
    <w:basedOn w:val="1"/>
    <w:next w:val="1"/>
    <w:qFormat/>
    <w:uiPriority w:val="0"/>
    <w:pPr>
      <w:ind w:left="2940" w:leftChars="1400"/>
    </w:pPr>
  </w:style>
  <w:style w:type="paragraph" w:styleId="18">
    <w:name w:val="Balloon Text"/>
    <w:basedOn w:val="1"/>
    <w:link w:val="57"/>
    <w:qFormat/>
    <w:uiPriority w:val="0"/>
    <w:rPr>
      <w:sz w:val="18"/>
      <w:szCs w:val="18"/>
    </w:rPr>
  </w:style>
  <w:style w:type="paragraph" w:styleId="19">
    <w:name w:val="footer"/>
    <w:basedOn w:val="1"/>
    <w:link w:val="64"/>
    <w:qFormat/>
    <w:uiPriority w:val="99"/>
    <w:pPr>
      <w:tabs>
        <w:tab w:val="center" w:pos="4153"/>
        <w:tab w:val="right" w:pos="8306"/>
      </w:tabs>
      <w:snapToGrid w:val="0"/>
      <w:jc w:val="left"/>
    </w:pPr>
    <w:rPr>
      <w:sz w:val="18"/>
      <w:szCs w:val="20"/>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21">
    <w:name w:val="toc 1"/>
    <w:basedOn w:val="1"/>
    <w:next w:val="1"/>
    <w:qFormat/>
    <w:uiPriority w:val="39"/>
  </w:style>
  <w:style w:type="paragraph" w:styleId="22">
    <w:name w:val="toc 4"/>
    <w:basedOn w:val="1"/>
    <w:next w:val="1"/>
    <w:qFormat/>
    <w:uiPriority w:val="0"/>
    <w:pPr>
      <w:ind w:left="1260" w:leftChars="600"/>
    </w:pPr>
  </w:style>
  <w:style w:type="paragraph" w:styleId="23">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24">
    <w:name w:val="toc 6"/>
    <w:basedOn w:val="1"/>
    <w:next w:val="1"/>
    <w:qFormat/>
    <w:uiPriority w:val="0"/>
    <w:pPr>
      <w:ind w:left="2100" w:leftChars="1000"/>
    </w:pPr>
  </w:style>
  <w:style w:type="paragraph" w:styleId="25">
    <w:name w:val="toc 2"/>
    <w:basedOn w:val="1"/>
    <w:next w:val="1"/>
    <w:qFormat/>
    <w:uiPriority w:val="0"/>
    <w:pPr>
      <w:ind w:left="420" w:leftChars="200"/>
    </w:pPr>
  </w:style>
  <w:style w:type="paragraph" w:styleId="26">
    <w:name w:val="toc 9"/>
    <w:basedOn w:val="1"/>
    <w:next w:val="1"/>
    <w:qFormat/>
    <w:uiPriority w:val="0"/>
    <w:pPr>
      <w:ind w:left="3360" w:leftChars="1600"/>
    </w:pPr>
  </w:style>
  <w:style w:type="paragraph" w:styleId="27">
    <w:name w:val="Normal (Web)"/>
    <w:basedOn w:val="1"/>
    <w:link w:val="66"/>
    <w:qFormat/>
    <w:uiPriority w:val="0"/>
    <w:pPr>
      <w:widowControl/>
      <w:spacing w:before="100" w:beforeAutospacing="1" w:after="100" w:afterAutospacing="1"/>
      <w:jc w:val="left"/>
    </w:pPr>
    <w:rPr>
      <w:rFonts w:ascii="宋体"/>
      <w:kern w:val="0"/>
      <w:sz w:val="18"/>
      <w:szCs w:val="18"/>
    </w:rPr>
  </w:style>
  <w:style w:type="paragraph" w:styleId="28">
    <w:name w:val="annotation subject"/>
    <w:basedOn w:val="11"/>
    <w:next w:val="11"/>
    <w:link w:val="67"/>
    <w:qFormat/>
    <w:uiPriority w:val="0"/>
    <w:rPr>
      <w:b/>
      <w:bCs/>
    </w:rPr>
  </w:style>
  <w:style w:type="paragraph" w:styleId="29">
    <w:name w:val="Body Text First Indent"/>
    <w:basedOn w:val="12"/>
    <w:qFormat/>
    <w:uiPriority w:val="0"/>
    <w:pPr>
      <w:ind w:firstLine="420" w:firstLineChars="100"/>
    </w:pPr>
  </w:style>
  <w:style w:type="paragraph" w:styleId="30">
    <w:name w:val="Body Text First Indent 2"/>
    <w:basedOn w:val="13"/>
    <w:next w:val="1"/>
    <w:unhideWhenUsed/>
    <w:qFormat/>
    <w:uiPriority w:val="99"/>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0"/>
    <w:rPr>
      <w:b/>
    </w:rPr>
  </w:style>
  <w:style w:type="character" w:styleId="35">
    <w:name w:val="page number"/>
    <w:basedOn w:val="33"/>
    <w:qFormat/>
    <w:uiPriority w:val="0"/>
    <w:rPr>
      <w:rFonts w:ascii="Calibri" w:hAnsi="Calibri" w:eastAsia="宋体" w:cs="Times New Roman"/>
    </w:rPr>
  </w:style>
  <w:style w:type="character" w:styleId="36">
    <w:name w:val="Emphasis"/>
    <w:qFormat/>
    <w:uiPriority w:val="0"/>
    <w:rPr>
      <w:rFonts w:ascii="Calibri" w:hAnsi="Calibri" w:eastAsia="宋体" w:cs="Times New Roman"/>
    </w:rPr>
  </w:style>
  <w:style w:type="character" w:styleId="37">
    <w:name w:val="Hyperlink"/>
    <w:unhideWhenUsed/>
    <w:qFormat/>
    <w:uiPriority w:val="99"/>
    <w:rPr>
      <w:rFonts w:ascii="Calibri" w:hAnsi="Calibri" w:eastAsia="宋体" w:cs="Times New Roman"/>
      <w:color w:val="0563C1"/>
      <w:u w:val="single"/>
    </w:rPr>
  </w:style>
  <w:style w:type="character" w:styleId="38">
    <w:name w:val="annotation reference"/>
    <w:qFormat/>
    <w:uiPriority w:val="99"/>
    <w:rPr>
      <w:rFonts w:ascii="Calibri" w:hAnsi="Calibri" w:eastAsia="宋体" w:cs="Times New Roman"/>
      <w:sz w:val="21"/>
      <w:szCs w:val="21"/>
    </w:rPr>
  </w:style>
  <w:style w:type="character" w:customStyle="1" w:styleId="39">
    <w:name w:val="标题 1 字符"/>
    <w:link w:val="4"/>
    <w:qFormat/>
    <w:uiPriority w:val="0"/>
    <w:rPr>
      <w:rFonts w:ascii="Calibri" w:hAnsi="Calibri" w:eastAsia="宋体" w:cs="Times New Roman"/>
      <w:b/>
      <w:bCs/>
      <w:kern w:val="44"/>
      <w:sz w:val="44"/>
      <w:szCs w:val="44"/>
    </w:rPr>
  </w:style>
  <w:style w:type="paragraph" w:customStyle="1" w:styleId="40">
    <w:name w:val="Default"/>
    <w:next w:val="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
    <w:name w:val="样式"/>
    <w:link w:val="61"/>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2">
    <w:name w:val="正文首行缩进两字符"/>
    <w:basedOn w:val="43"/>
    <w:qFormat/>
    <w:uiPriority w:val="0"/>
    <w:pPr>
      <w:spacing w:line="360" w:lineRule="auto"/>
      <w:ind w:firstLine="200" w:firstLineChars="200"/>
    </w:pPr>
  </w:style>
  <w:style w:type="paragraph" w:customStyle="1" w:styleId="43">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4">
    <w:name w:val="样式1"/>
    <w:basedOn w:val="41"/>
    <w:link w:val="63"/>
    <w:qFormat/>
    <w:uiPriority w:val="0"/>
    <w:pPr>
      <w:spacing w:after="0" w:line="400" w:lineRule="exact"/>
      <w:jc w:val="center"/>
    </w:pPr>
    <w:rPr>
      <w:rFonts w:ascii="仿宋" w:hAnsi="仿宋" w:eastAsia="仿宋" w:cs="Times New Roman"/>
      <w:kern w:val="2"/>
      <w:szCs w:val="28"/>
    </w:rPr>
  </w:style>
  <w:style w:type="paragraph" w:customStyle="1" w:styleId="45">
    <w:name w:val="(符号)四标题1.1"/>
    <w:basedOn w:val="1"/>
    <w:qFormat/>
    <w:uiPriority w:val="0"/>
    <w:pPr>
      <w:numPr>
        <w:ilvl w:val="1"/>
        <w:numId w:val="2"/>
      </w:numPr>
      <w:tabs>
        <w:tab w:val="left" w:pos="700"/>
      </w:tabs>
      <w:spacing w:after="0" w:line="500" w:lineRule="exact"/>
    </w:pPr>
    <w:rPr>
      <w:rFonts w:ascii="宋体" w:hAnsi="宋体" w:cs="宋体"/>
      <w:color w:val="000000"/>
      <w:kern w:val="0"/>
      <w:sz w:val="24"/>
      <w:szCs w:val="20"/>
    </w:rPr>
  </w:style>
  <w:style w:type="paragraph" w:customStyle="1" w:styleId="46">
    <w:name w:val="样式 首行缩进:  2 字符"/>
    <w:basedOn w:val="1"/>
    <w:qFormat/>
    <w:uiPriority w:val="0"/>
    <w:pPr>
      <w:spacing w:line="400" w:lineRule="exact"/>
      <w:ind w:firstLine="200" w:firstLineChars="200"/>
    </w:pPr>
    <w:rPr>
      <w:rFonts w:cs="宋体"/>
      <w:sz w:val="24"/>
    </w:rPr>
  </w:style>
  <w:style w:type="paragraph" w:customStyle="1" w:styleId="47">
    <w:name w:val="目录"/>
    <w:basedOn w:val="1"/>
    <w:qFormat/>
    <w:uiPriority w:val="0"/>
    <w:pPr>
      <w:widowControl/>
      <w:spacing w:after="0" w:line="240" w:lineRule="auto"/>
      <w:jc w:val="center"/>
    </w:pPr>
    <w:rPr>
      <w:rFonts w:ascii="宋体" w:hAnsi="Times New Roman"/>
      <w:b/>
      <w:bCs/>
      <w:kern w:val="0"/>
      <w:sz w:val="36"/>
      <w:szCs w:val="36"/>
    </w:rPr>
  </w:style>
  <w:style w:type="paragraph" w:styleId="48">
    <w:name w:val="List Paragraph"/>
    <w:basedOn w:val="1"/>
    <w:link w:val="50"/>
    <w:qFormat/>
    <w:uiPriority w:val="34"/>
    <w:pPr>
      <w:ind w:firstLine="420" w:firstLineChars="200"/>
    </w:pPr>
  </w:style>
  <w:style w:type="paragraph" w:customStyle="1" w:styleId="49">
    <w:name w:val="_Style 2"/>
    <w:basedOn w:val="1"/>
    <w:qFormat/>
    <w:uiPriority w:val="0"/>
    <w:pPr>
      <w:ind w:firstLine="420" w:firstLineChars="200"/>
    </w:pPr>
    <w:rPr>
      <w:sz w:val="18"/>
      <w:szCs w:val="18"/>
    </w:rPr>
  </w:style>
  <w:style w:type="character" w:customStyle="1" w:styleId="50">
    <w:name w:val="列表段落 字符"/>
    <w:link w:val="48"/>
    <w:qFormat/>
    <w:uiPriority w:val="34"/>
    <w:rPr>
      <w:rFonts w:ascii="Calibri" w:hAnsi="Calibri" w:eastAsia="宋体" w:cs="Times New Roman"/>
      <w:kern w:val="2"/>
      <w:sz w:val="21"/>
      <w:szCs w:val="24"/>
    </w:rPr>
  </w:style>
  <w:style w:type="character" w:customStyle="1" w:styleId="51">
    <w:name w:val="font31"/>
    <w:qFormat/>
    <w:uiPriority w:val="0"/>
    <w:rPr>
      <w:rFonts w:hint="eastAsia" w:ascii="宋体" w:hAnsi="宋体" w:eastAsia="宋体" w:cs="宋体"/>
      <w:color w:val="000000"/>
      <w:sz w:val="21"/>
      <w:szCs w:val="21"/>
      <w:u w:val="none"/>
    </w:rPr>
  </w:style>
  <w:style w:type="character" w:customStyle="1" w:styleId="52">
    <w:name w:val="sidecatalog-index2"/>
    <w:qFormat/>
    <w:uiPriority w:val="0"/>
    <w:rPr>
      <w:rFonts w:ascii="Arail" w:hAnsi="Arail" w:eastAsia="Arail" w:cs="Arail"/>
      <w:color w:val="999999"/>
      <w:sz w:val="21"/>
      <w:szCs w:val="21"/>
    </w:rPr>
  </w:style>
  <w:style w:type="character" w:customStyle="1" w:styleId="53">
    <w:name w:val="font101"/>
    <w:qFormat/>
    <w:uiPriority w:val="0"/>
    <w:rPr>
      <w:rFonts w:hint="eastAsia" w:ascii="宋体" w:hAnsi="宋体" w:eastAsia="宋体" w:cs="宋体"/>
      <w:color w:val="000000"/>
      <w:sz w:val="21"/>
      <w:szCs w:val="21"/>
      <w:u w:val="single"/>
    </w:rPr>
  </w:style>
  <w:style w:type="character" w:customStyle="1" w:styleId="54">
    <w:name w:val="fontstyle01"/>
    <w:qFormat/>
    <w:uiPriority w:val="0"/>
    <w:rPr>
      <w:rFonts w:hint="eastAsia" w:ascii="仿宋_GB2312" w:hAnsi="Calibri" w:eastAsia="仿宋_GB2312" w:cs="Times New Roman"/>
      <w:color w:val="000000"/>
      <w:sz w:val="32"/>
      <w:szCs w:val="32"/>
    </w:rPr>
  </w:style>
  <w:style w:type="character" w:customStyle="1" w:styleId="55">
    <w:name w:val="正文文本 字符"/>
    <w:link w:val="12"/>
    <w:semiHidden/>
    <w:qFormat/>
    <w:uiPriority w:val="0"/>
    <w:rPr>
      <w:rFonts w:ascii="Calibri" w:hAnsi="Calibri" w:eastAsia="宋体" w:cs="Times New Roman"/>
      <w:kern w:val="2"/>
      <w:sz w:val="21"/>
      <w:szCs w:val="24"/>
    </w:rPr>
  </w:style>
  <w:style w:type="character" w:customStyle="1" w:styleId="56">
    <w:name w:val="批注文字 字符"/>
    <w:link w:val="11"/>
    <w:qFormat/>
    <w:uiPriority w:val="0"/>
    <w:rPr>
      <w:rFonts w:ascii="Calibri" w:hAnsi="Calibri" w:eastAsia="宋体" w:cs="Times New Roman"/>
      <w:kern w:val="2"/>
      <w:sz w:val="21"/>
      <w:szCs w:val="24"/>
    </w:rPr>
  </w:style>
  <w:style w:type="character" w:customStyle="1" w:styleId="57">
    <w:name w:val="批注框文本 字符"/>
    <w:link w:val="18"/>
    <w:qFormat/>
    <w:uiPriority w:val="0"/>
    <w:rPr>
      <w:rFonts w:ascii="Calibri" w:hAnsi="Calibri" w:eastAsia="宋体" w:cs="Times New Roman"/>
      <w:kern w:val="2"/>
      <w:sz w:val="18"/>
      <w:szCs w:val="18"/>
    </w:rPr>
  </w:style>
  <w:style w:type="character" w:customStyle="1" w:styleId="58">
    <w:name w:val="批注框文本 Char"/>
    <w:qFormat/>
    <w:uiPriority w:val="0"/>
    <w:rPr>
      <w:rFonts w:ascii="Calibri" w:hAnsi="Calibri" w:eastAsia="宋体" w:cs="Times New Roman"/>
      <w:kern w:val="2"/>
      <w:sz w:val="18"/>
      <w:szCs w:val="18"/>
    </w:rPr>
  </w:style>
  <w:style w:type="character" w:customStyle="1" w:styleId="59">
    <w:name w:val="文档结构图 字符"/>
    <w:link w:val="10"/>
    <w:qFormat/>
    <w:uiPriority w:val="0"/>
    <w:rPr>
      <w:rFonts w:ascii="宋体" w:hAnsi="Calibri" w:eastAsia="宋体" w:cs="Times New Roman"/>
      <w:kern w:val="2"/>
      <w:sz w:val="18"/>
      <w:szCs w:val="18"/>
    </w:rPr>
  </w:style>
  <w:style w:type="character" w:customStyle="1" w:styleId="60">
    <w:name w:val="批注文字 Char1"/>
    <w:qFormat/>
    <w:uiPriority w:val="0"/>
    <w:rPr>
      <w:rFonts w:ascii="Times New Roman" w:hAnsi="Times New Roman" w:eastAsia="宋体" w:cs="Times New Roman"/>
      <w:szCs w:val="24"/>
    </w:rPr>
  </w:style>
  <w:style w:type="character" w:customStyle="1" w:styleId="61">
    <w:name w:val="样式 Char"/>
    <w:link w:val="41"/>
    <w:qFormat/>
    <w:uiPriority w:val="0"/>
    <w:rPr>
      <w:rFonts w:ascii="宋体" w:hAnsi="宋体" w:eastAsia="宋体" w:cs="宋体"/>
      <w:sz w:val="24"/>
      <w:szCs w:val="24"/>
      <w:lang w:val="en-US" w:eastAsia="zh-CN" w:bidi="ar-SA"/>
    </w:rPr>
  </w:style>
  <w:style w:type="character" w:customStyle="1" w:styleId="62">
    <w:name w:val="font91"/>
    <w:qFormat/>
    <w:uiPriority w:val="0"/>
    <w:rPr>
      <w:rFonts w:hint="eastAsia" w:ascii="宋体" w:hAnsi="宋体" w:eastAsia="宋体" w:cs="宋体"/>
      <w:color w:val="FF0000"/>
      <w:sz w:val="21"/>
      <w:szCs w:val="21"/>
      <w:u w:val="single"/>
    </w:rPr>
  </w:style>
  <w:style w:type="character" w:customStyle="1" w:styleId="63">
    <w:name w:val="样式1 Char"/>
    <w:link w:val="44"/>
    <w:qFormat/>
    <w:uiPriority w:val="0"/>
    <w:rPr>
      <w:rFonts w:ascii="仿宋" w:hAnsi="仿宋" w:eastAsia="仿宋" w:cs="宋体"/>
      <w:kern w:val="2"/>
      <w:sz w:val="24"/>
      <w:szCs w:val="28"/>
    </w:rPr>
  </w:style>
  <w:style w:type="character" w:customStyle="1" w:styleId="64">
    <w:name w:val="页脚 字符"/>
    <w:link w:val="19"/>
    <w:qFormat/>
    <w:uiPriority w:val="99"/>
    <w:rPr>
      <w:rFonts w:ascii="Calibri" w:hAnsi="Calibri" w:eastAsia="宋体" w:cs="Times New Roman"/>
      <w:kern w:val="2"/>
      <w:sz w:val="18"/>
    </w:rPr>
  </w:style>
  <w:style w:type="character" w:customStyle="1" w:styleId="65">
    <w:name w:val="标题 2 字符"/>
    <w:link w:val="5"/>
    <w:qFormat/>
    <w:uiPriority w:val="0"/>
    <w:rPr>
      <w:rFonts w:ascii="Arial" w:hAnsi="Arial" w:eastAsia="黑体" w:cs="Times New Roman"/>
      <w:b/>
      <w:bCs/>
      <w:kern w:val="2"/>
      <w:sz w:val="32"/>
      <w:szCs w:val="32"/>
    </w:rPr>
  </w:style>
  <w:style w:type="character" w:customStyle="1" w:styleId="66">
    <w:name w:val="普通(网站) 字符"/>
    <w:link w:val="27"/>
    <w:qFormat/>
    <w:uiPriority w:val="0"/>
    <w:rPr>
      <w:rFonts w:ascii="宋体" w:hAnsi="Calibri" w:eastAsia="宋体" w:cs="Times New Roman"/>
      <w:sz w:val="18"/>
      <w:szCs w:val="18"/>
    </w:rPr>
  </w:style>
  <w:style w:type="character" w:customStyle="1" w:styleId="67">
    <w:name w:val="批注主题 字符"/>
    <w:link w:val="28"/>
    <w:qFormat/>
    <w:uiPriority w:val="0"/>
    <w:rPr>
      <w:rFonts w:ascii="Calibri" w:hAnsi="Calibri" w:eastAsia="宋体" w:cs="Times New Roman"/>
      <w:b/>
      <w:bCs/>
      <w:kern w:val="2"/>
      <w:sz w:val="21"/>
      <w:szCs w:val="24"/>
    </w:rPr>
  </w:style>
  <w:style w:type="character" w:customStyle="1" w:styleId="68">
    <w:name w:val="font111"/>
    <w:qFormat/>
    <w:uiPriority w:val="0"/>
    <w:rPr>
      <w:rFonts w:hint="default" w:ascii="Eʩ" w:hAnsi="Eʩ" w:eastAsia="Eʩ" w:cs="Eʩ"/>
      <w:color w:val="000000"/>
      <w:sz w:val="21"/>
      <w:szCs w:val="21"/>
      <w:u w:val="single"/>
    </w:rPr>
  </w:style>
  <w:style w:type="character" w:customStyle="1" w:styleId="69">
    <w:name w:val="font11"/>
    <w:basedOn w:val="33"/>
    <w:qFormat/>
    <w:uiPriority w:val="0"/>
    <w:rPr>
      <w:rFonts w:hint="eastAsia" w:ascii="宋体" w:hAnsi="宋体" w:eastAsia="宋体" w:cs="宋体"/>
      <w:color w:val="000000"/>
      <w:sz w:val="24"/>
      <w:szCs w:val="24"/>
      <w:u w:val="none"/>
    </w:rPr>
  </w:style>
  <w:style w:type="character" w:customStyle="1" w:styleId="70">
    <w:name w:val="font71"/>
    <w:basedOn w:val="33"/>
    <w:qFormat/>
    <w:uiPriority w:val="0"/>
    <w:rPr>
      <w:rFonts w:ascii="微软雅黑" w:hAnsi="微软雅黑" w:eastAsia="微软雅黑" w:cs="微软雅黑"/>
      <w:color w:val="auto"/>
      <w:sz w:val="28"/>
      <w:szCs w:val="28"/>
      <w:u w:val="none"/>
    </w:rPr>
  </w:style>
  <w:style w:type="character" w:customStyle="1" w:styleId="71">
    <w:name w:val="font61"/>
    <w:basedOn w:val="33"/>
    <w:qFormat/>
    <w:uiPriority w:val="0"/>
    <w:rPr>
      <w:rFonts w:hint="eastAsia" w:ascii="方正仿宋_GBK" w:hAnsi="方正仿宋_GBK" w:eastAsia="方正仿宋_GBK" w:cs="方正仿宋_GBK"/>
      <w:color w:val="auto"/>
      <w:sz w:val="28"/>
      <w:szCs w:val="28"/>
      <w:u w:val="none"/>
    </w:rPr>
  </w:style>
  <w:style w:type="character" w:customStyle="1" w:styleId="72">
    <w:name w:val="font81"/>
    <w:basedOn w:val="33"/>
    <w:qFormat/>
    <w:uiPriority w:val="0"/>
    <w:rPr>
      <w:rFonts w:ascii="Calibri" w:hAnsi="Calibri" w:cs="Calibri"/>
      <w:color w:val="auto"/>
      <w:sz w:val="28"/>
      <w:szCs w:val="28"/>
      <w:u w:val="none"/>
    </w:rPr>
  </w:style>
  <w:style w:type="paragraph" w:customStyle="1" w:styleId="73">
    <w:name w:val="null3"/>
    <w:hidden/>
    <w:qFormat/>
    <w:uiPriority w:val="0"/>
    <w:rPr>
      <w:rFonts w:hint="eastAsia" w:asciiTheme="minorHAnsi" w:hAnsiTheme="minorHAnsi" w:eastAsiaTheme="minorEastAsia" w:cstheme="minorBidi"/>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9580107d-8dfc-40b1-99a5-f16a7f135ddc</errorID>
      <errorWord>1</errorWord>
      <group>L1_AI</group>
      <groupName>深度校对</groupName>
      <ability>L2_AI_Word</ability>
      <abilityName>字词纠错</abilityName>
      <candidateList>
        <item> 1</item>
      </candidateList>
      <explain/>
      <paraID>3687FA80</paraID>
      <start>12</start>
      <end>13</end>
      <status>unmodified</status>
      <modifiedWord/>
      <trackRevisions>false</trackRevisions>
    </reviewItem>
    <reviewItem>
      <errorID>d237386d-15e3-4442-b4e5-68e60ac04a47</errorID>
      <errorWord>年</errorWord>
      <group>L1_AI</group>
      <groupName>深度校对</groupName>
      <ability>L2_AI_Word</ability>
      <abilityName>字词纠错</abilityName>
      <candidateList>
        <item> 年</item>
      </candidateList>
      <explain/>
      <paraID>4D63A4B6</paraID>
      <start>14</start>
      <end>15</end>
      <status>unmodified</status>
      <modifiedWord/>
      <trackRevisions>false</trackRevisions>
    </reviewItem>
    <reviewItem>
      <errorID>b21b15c7-ac4d-47e2-b8d9-4884e5b01e85</errorID>
      <errorWord>3</errorWord>
      <group>L1_AI</group>
      <groupName>深度校对</groupName>
      <ability>L2_AI_Word</ability>
      <abilityName>字词纠错</abilityName>
      <candidateList>
        <item> 3</item>
      </candidateList>
      <explain/>
      <paraID>4D63A4B6</paraID>
      <start>15</start>
      <end>16</end>
      <status>unmodified</status>
      <modifiedWord/>
      <trackRevisions>false</trackRevisions>
    </reviewItem>
    <reviewItem>
      <errorID>4df41865-b4c6-48be-9fea-e8b17acd3d90</errorID>
      <errorWord>月</errorWord>
      <group>L1_AI</group>
      <groupName>深度校对</groupName>
      <ability>L2_AI_Word</ability>
      <abilityName>字词纠错</abilityName>
      <candidateList>
        <item> 月</item>
      </candidateList>
      <explain/>
      <paraID>4D63A4B6</paraID>
      <start>16</start>
      <end>17</end>
      <status>unmodified</status>
      <modifiedWord/>
      <trackRevisions>false</trackRevisions>
    </reviewItem>
    <reviewItem>
      <errorID>8e5dd8a9-b144-4981-97cf-c3e8052ad7b3</errorID>
      <errorWord>10</errorWord>
      <group>L1_AI</group>
      <groupName>深度校对</groupName>
      <ability>L2_AI_Word</ability>
      <abilityName>字词纠错</abilityName>
      <candidateList>
        <item> 10</item>
      </candidateList>
      <explain/>
      <paraID>4D63A4B6</paraID>
      <start>17</start>
      <end>19</end>
      <status>unmodified</status>
      <modifiedWord/>
      <trackRevisions>false</trackRevisions>
    </reviewItem>
    <reviewItem>
      <errorID>73ffc3ff-c1cd-4273-9d6c-813e09194508</errorID>
      <errorWord>日</errorWord>
      <group>L1_AI</group>
      <groupName>深度校对</groupName>
      <ability>L2_AI_Word</ability>
      <abilityName>字词纠错</abilityName>
      <candidateList>
        <item> 日</item>
      </candidateList>
      <explain/>
      <paraID>4D63A4B6</paraID>
      <start>19</start>
      <end>20</end>
      <status>unmodified</status>
      <modifiedWord/>
      <trackRevisions>false</trackRevisions>
    </reviewItem>
    <reviewItem>
      <errorID>b6f72bfb-8951-4945-9190-808c8558eb12</errorID>
      <errorWord>09</errorWord>
      <group>L1_AI</group>
      <groupName>深度校对</groupName>
      <ability>L2_AI_Word</ability>
      <abilityName>字词纠错</abilityName>
      <candidateList>
        <item> 09</item>
      </candidateList>
      <explain/>
      <paraID>4D63A4B6</paraID>
      <start>20</start>
      <end>22</end>
      <status>unmodified</status>
      <modifiedWord/>
      <trackRevisions>false</trackRevisions>
    </reviewItem>
    <reviewItem>
      <errorID>ba7ce7d3-a1ac-4da8-b258-e996ce5c410b</errorID>
      <errorWord>时</errorWord>
      <group>L1_AI</group>
      <groupName>深度校对</groupName>
      <ability>L2_AI_Word</ability>
      <abilityName>字词纠错</abilityName>
      <candidateList>
        <item> 时</item>
      </candidateList>
      <explain/>
      <paraID>4D63A4B6</paraID>
      <start>22</start>
      <end>23</end>
      <status>unmodified</status>
      <modifiedWord/>
      <trackRevisions>false</trackRevisions>
    </reviewItem>
    <reviewItem>
      <errorID>1dcd803e-f3be-4b22-a4d3-90ad491aee02</errorID>
      <errorWord>00</errorWord>
      <group>L1_AI</group>
      <groupName>深度校对</groupName>
      <ability>L2_AI_Word</ability>
      <abilityName>字词纠错</abilityName>
      <candidateList>
        <item> 00</item>
      </candidateList>
      <explain/>
      <paraID>4D63A4B6</paraID>
      <start>23</start>
      <end>25</end>
      <status>unmodified</status>
      <modifiedWord/>
      <trackRevisions>false</trackRevisions>
    </reviewItem>
    <reviewItem>
      <errorID>bc9be7ff-c8bc-4de1-aab9-15c486989f74</errorID>
      <errorWord>分</errorWord>
      <group>L1_AI</group>
      <groupName>深度校对</groupName>
      <ability>L2_AI_Word</ability>
      <abilityName>字词纠错</abilityName>
      <candidateList>
        <item> 分</item>
      </candidateList>
      <explain/>
      <paraID>4D63A4B6</paraID>
      <start>25</start>
      <end>26</end>
      <status>unmodified</status>
      <modifiedWord/>
      <trackRevisions>false</trackRevisions>
    </reviewItem>
    <reviewItem>
      <errorID>c04e9d5d-9015-4ea4-a791-100155218543</errorID>
      <errorWord>。</errorWord>
      <group>L1_AI</group>
      <groupName>深度校对</groupName>
      <ability>L2_AI_Punc</ability>
      <abilityName>标点纠错</abilityName>
      <candidateList>
        <item/>
      </candidateList>
      <explain/>
      <paraID> 28FEDFB</paraID>
      <start>16</start>
      <end>17</end>
      <status>unmodified</status>
      <modifiedWord/>
      <trackRevisions>false</trackRevisions>
    </reviewItem>
    <reviewItem>
      <errorID>27f53449-9c05-4974-8b8c-5b044d1a4aa5</errorID>
      <errorWord>五、</errorWord>
      <group>L1_AI</group>
      <groupName>深度校对</groupName>
      <ability>L2_AI_Title</ability>
      <abilityName>标题检查</abilityName>
      <candidateList>
        <item>（五）</item>
      </candidateList>
      <explain>标题顺序错误，请检查标题顺序是否合理。</explain>
      <paraID>6632741F</paraID>
      <start>0</start>
      <end>2</end>
      <status>unmodified</status>
      <modifiedWord/>
      <trackRevisions>false</trackRevisions>
    </reviewItem>
    <reviewItem>
      <errorID>67fb0a71-508b-45f8-b38b-c9a60d14fd30</errorID>
      <errorWord>六、</errorWord>
      <group>L1_AI</group>
      <groupName>深度校对</groupName>
      <ability>L2_AI_Title</ability>
      <abilityName>标题检查</abilityName>
      <candidateList>
        <item>（六）</item>
      </candidateList>
      <explain>标题顺序错误，请检查标题顺序是否合理。</explain>
      <paraID> 52873AF</paraID>
      <start>0</start>
      <end>2</end>
      <status>unmodified</status>
      <modifiedWord/>
      <trackRevisions>false</trackRevisions>
    </reviewItem>
    <reviewItem>
      <errorID>817e884c-da13-42fe-a3a0-3b243cd731b1</errorID>
      <errorWord>388</errorWord>
      <group>L1_AI</group>
      <groupName>深度校对</groupName>
      <ability>L2_AI_Word</ability>
      <abilityName>字词纠错</abilityName>
      <candidateList>
        <item> 388</item>
      </candidateList>
      <explain/>
      <paraID> 52873AF</paraID>
      <start>31</start>
      <end>34</end>
      <status>unmodified</status>
      <modifiedWord/>
      <trackRevisions>false</trackRevisions>
    </reviewItem>
    <reviewItem>
      <errorID>a94ee973-0af8-4417-b2e8-fe19061c10da</errorID>
      <errorWord>号</errorWord>
      <group>L1_AI</group>
      <groupName>深度校对</groupName>
      <ability>L2_AI_Word</ability>
      <abilityName>字词纠错</abilityName>
      <candidateList>
        <item> 号</item>
      </candidateList>
      <explain/>
      <paraID> 52873AF</paraID>
      <start>34</start>
      <end>35</end>
      <status>unmodified</status>
      <modifiedWord/>
      <trackRevisions>false</trackRevisions>
    </reviewItem>
    <reviewItem>
      <errorID>2daa7f5f-f718-4374-b839-fedc3ffc4576</errorID>
      <errorWord>七、</errorWord>
      <group>L1_AI</group>
      <groupName>深度校对</groupName>
      <ability>L2_AI_Title</ability>
      <abilityName>标题检查</abilityName>
      <candidateList>
        <item>（七）</item>
      </candidateList>
      <explain>标题顺序错误，请检查标题顺序是否合理。</explain>
      <paraID>59FA78B3</paraID>
      <start>0</start>
      <end>2</end>
      <status>unmodified</status>
      <modifiedWord/>
      <trackRevisions>false</trackRevisions>
    </reviewItem>
    <reviewItem>
      <errorID>8d409129-b1c0-44f5-b8c1-1a6e7eb06dc3</errorID>
      <errorWord>八、</errorWord>
      <group>L1_AI</group>
      <groupName>深度校对</groupName>
      <ability>L2_AI_Title</ability>
      <abilityName>标题检查</abilityName>
      <candidateList>
        <item>（八）</item>
      </candidateList>
      <explain>标题顺序错误，请检查标题顺序是否合理。</explain>
      <paraID>28CFFA3C</paraID>
      <start>0</start>
      <end>2</end>
      <status>unmodified</status>
      <modifiedWord/>
      <trackRevisions>false</trackRevisions>
    </reviewItem>
    <reviewItem>
      <errorID>5d4fb733-d064-4740-a902-3cbec449185f</errorID>
      <errorWord>比选申请人</errorWord>
      <group>L1_AI</group>
      <groupName>深度校对</groupName>
      <ability>L2_AI_Grammar</ability>
      <abilityName>语法纠错</abilityName>
      <candidateList>
        <item>投标人</item>
      </candidateList>
      <explain/>
      <paraID>6D0AFB6D</paraID>
      <start>2</start>
      <end>7</end>
      <status>unmodified</status>
      <modifiedWord/>
      <trackRevisions>false</trackRevisions>
    </reviewItem>
    <reviewItem>
      <errorID>bf379cd5-3c28-487c-bc2a-c7d0e88c317d</errorID>
      <errorWord>、</errorWord>
      <group>L1_AI</group>
      <groupName>深度校对</groupName>
      <ability>L2_AI_Grammar</ability>
      <abilityName>语法纠错</abilityName>
      <candidateList>
        <item>，遵循</item>
      </candidateList>
      <explain/>
      <paraID>33732F6D</paraID>
      <start>22</start>
      <end>23</end>
      <status>unmodified</status>
      <modifiedWord/>
      <trackRevisions>false</trackRevisions>
    </reviewItem>
    <reviewItem>
      <errorID>a311d0e0-b262-4906-9569-e521de4b19bd</errorID>
      <errorWord>、</errorWord>
      <group>L1_AI</group>
      <groupName>深度校对</groupName>
      <ability>L2_AI_Punc</ability>
      <abilityName>标点纠错</abilityName>
      <candidateList>
        <item>，</item>
      </candidateList>
      <explain/>
      <paraID>33732F6D</paraID>
      <start>27</start>
      <end>28</end>
      <status>unmodified</status>
      <modifiedWord/>
      <trackRevisions>false</trackRevisions>
    </reviewItem>
    <reviewItem>
      <errorID>7fb7cf45-8d03-4a37-9af3-850e05253781</errorID>
      <errorWord>、</errorWord>
      <group>L1_AI</group>
      <groupName>深度校对</groupName>
      <ability>L2_AI_Punc</ability>
      <abilityName>标点纠错</abilityName>
      <candidateList>
        <item>，</item>
      </candidateList>
      <explain/>
      <paraID>33732F6D</paraID>
      <start>34</start>
      <end>35</end>
      <status>unmodified</status>
      <modifiedWord/>
      <trackRevisions>false</trackRevisions>
    </reviewItem>
    <reviewItem>
      <errorID>60931993-b1f5-4e79-a5ab-b125a3dd9b8a</errorID>
      <errorWord>、</errorWord>
      <group>L1_AI</group>
      <groupName>深度校对</groupName>
      <ability>L2_AI_Punc</ability>
      <abilityName>标点纠错</abilityName>
      <candidateList>
        <item>，</item>
      </candidateList>
      <explain/>
      <paraID>33732F6D</paraID>
      <start>41</start>
      <end>42</end>
      <status>unmodified</status>
      <modifiedWord/>
      <trackRevisions>false</trackRevisions>
    </reviewItem>
    <reviewItem>
      <errorID>6209a3c9-6cd7-4e0f-be7d-30bafbee8a7b</errorID>
      <errorWord>、</errorWord>
      <group>L1_AI</group>
      <groupName>深度校对</groupName>
      <ability>L2_AI_Punc</ability>
      <abilityName>标点纠错</abilityName>
      <candidateList>
        <item>，</item>
      </candidateList>
      <explain/>
      <paraID>33732F6D</paraID>
      <start>50</start>
      <end>51</end>
      <status>unmodified</status>
      <modifiedWord/>
      <trackRevisions>false</trackRevisions>
    </reviewItem>
    <reviewItem>
      <errorID>edd3f672-9074-434c-bc2c-8fb5a3d12540</errorID>
      <errorWord> </errorWord>
      <group>L1_AI</group>
      <groupName>深度校对</groupName>
      <ability>L2_AI_Punc</ability>
      <abilityName>标点纠错</abilityName>
      <candidateList>
        <item/>
      </candidateList>
      <explain>此处空格冗余，建议删除。</explain>
      <paraID>58B3DD24</paraID>
      <start>18</start>
      <end>19</end>
      <status>unmodified</status>
      <modifiedWord/>
      <trackRevisions>false</trackRevisions>
    </reviewItem>
    <reviewItem>
      <errorID>99e19143-0456-4717-8e85-1e290b76c219</errorID>
      <errorWord>与</errorWord>
      <group>L1_AI</group>
      <groupName>深度校对</groupName>
      <ability>L2_AI_Word</ability>
      <abilityName>字词纠错</abilityName>
      <candidateList>
        <item>对照</item>
      </candidateList>
      <explain/>
      <paraID>123F8AA0</paraID>
      <start>58</start>
      <end>59</end>
      <status>unmodified</status>
      <modifiedWord/>
      <trackRevisions>false</trackRevisions>
    </reviewItem>
    <reviewItem>
      <errorID>6fd5b496-fc25-4597-a530-be02f43a6cc2</errorID>
      <errorWord>进行</errorWord>
      <group>L1_AI</group>
      <groupName>深度校对</groupName>
      <ability>L2_AI_Grammar</ability>
      <abilityName>语法纠错</abilityName>
      <candidateList>
        <item>，据此进行</item>
      </candidateList>
      <explain/>
      <paraID>68288318</paraID>
      <start>93</start>
      <end>95</end>
      <status>unmodified</status>
      <modifiedWord/>
      <trackRevisions>false</trackRevisions>
    </reviewItem>
    <reviewItem>
      <errorID>d9f4bd73-8c22-45e3-ae93-cb85b84135c6</errorID>
      <errorWord>资源</errorWord>
      <group>L1_AI</group>
      <groupName>深度校对</groupName>
      <ability>L2_AI_Word</ability>
      <abilityName>字词纠错</abilityName>
      <candidateList>
        <item>服务</item>
      </candidateList>
      <explain/>
      <paraID>4818219C</paraID>
      <start>3</start>
      <end>5</end>
      <status>unmodified</status>
      <modifiedWord/>
      <trackRevisions>false</trackRevisions>
    </reviewItem>
    <reviewItem>
      <errorID>b616dc94-a39d-43ea-b4d8-44545036474a</errorID>
      <errorWord>资源</errorWord>
      <group>L1_AI</group>
      <groupName>深度校对</groupName>
      <ability>L2_AI_Word</ability>
      <abilityName>字词纠错</abilityName>
      <candidateList>
        <item>服务</item>
      </candidateList>
      <explain/>
      <paraID>4818219C</paraID>
      <start>42</start>
      <end>44</end>
      <status>unmodified</status>
      <modifiedWord/>
      <trackRevisions>false</trackRevisions>
    </reviewItem>
    <reviewItem>
      <errorID>f9871771-8c37-466c-b1b8-417fe56a259e</errorID>
      <errorWord>资源</errorWord>
      <group>L1_AI</group>
      <groupName>深度校对</groupName>
      <ability>L2_AI_Word</ability>
      <abilityName>字词纠错</abilityName>
      <candidateList>
        <item>服务</item>
      </candidateList>
      <explain/>
      <paraID>4818219C</paraID>
      <start>60</start>
      <end>62</end>
      <status>unmodified</status>
      <modifiedWord/>
      <trackRevisions>false</trackRevisions>
    </reviewItem>
    <reviewItem>
      <errorID>d9e17553-793a-49ec-b1e2-cc0b209c965d</errorID>
      <errorWord>或者</errorWord>
      <group>L1_AI</group>
      <groupName>深度校对</groupName>
      <ability>L2_AI_Word</ability>
      <abilityName>字词纠错</abilityName>
      <candidateList>
        <item>或</item>
      </candidateList>
      <explain/>
      <paraID>33B9175F</paraID>
      <start>27</start>
      <end>29</end>
      <status>unmodified</status>
      <modifiedWord/>
      <trackRevisions>false</trackRevisions>
    </reviewItem>
    <reviewItem>
      <errorID>cfa538aa-c91b-4833-9f24-c5d44c814566</errorID>
      <errorWord>投标人</errorWord>
      <group>L1_AI</group>
      <groupName>深度校对</groupName>
      <ability>L2_AI_Word</ability>
      <abilityName>字词纠错</abilityName>
      <candidateList>
        <item>主体</item>
      </candidateList>
      <explain/>
      <paraID>14E168BB</paraID>
      <start>18</start>
      <end>21</end>
      <status>unmodified</status>
      <modifiedWord/>
      <trackRevisions>false</trackRevisions>
    </reviewItem>
    <reviewItem>
      <errorID>1aefc760-9fe9-4c9e-8b2f-e7a384f8e381</errorID>
      <errorWord>可以</errorWord>
      <group>L1_AI</group>
      <groupName>深度校对</groupName>
      <ability>L2_AI_Word</ability>
      <abilityName>字词纠错</abilityName>
      <candidateList>
        <item>不得</item>
      </candidateList>
      <explain/>
      <paraID>448C9BE2</paraID>
      <start>54</start>
      <end>56</end>
      <status>unmodified</status>
      <modifiedWord/>
      <trackRevisions>false</trackRevisions>
    </reviewItem>
  </reviewItems>
  <config/>
</contractReview>
</file>

<file path=customXml/itemProps1.xml><?xml version="1.0" encoding="utf-8"?>
<ds:datastoreItem xmlns:ds="http://schemas.openxmlformats.org/officeDocument/2006/customXml" ds:itemID="{C6DB6BA1-6ACD-4596-AF60-085370DAEA86}">
  <ds:schemaRefs/>
</ds:datastoreItem>
</file>

<file path=docProps/app.xml><?xml version="1.0" encoding="utf-8"?>
<Properties xmlns="http://schemas.openxmlformats.org/officeDocument/2006/extended-properties" xmlns:vt="http://schemas.openxmlformats.org/officeDocument/2006/docPropsVTypes">
  <Template>Normal</Template>
  <Pages>28</Pages>
  <Words>1976</Words>
  <Characters>2184</Characters>
  <Lines>396</Lines>
  <Paragraphs>369</Paragraphs>
  <TotalTime>4</TotalTime>
  <ScaleCrop>false</ScaleCrop>
  <LinksUpToDate>false</LinksUpToDate>
  <CharactersWithSpaces>2211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2022-01-05T06:41:00Z</dcterms:created>
  <dc:creator>DELL</dc:creator>
  <cp:lastModifiedBy>许</cp:lastModifiedBy>
  <cp:lastPrinted>2026-06-02T05:31:00Z</cp:lastPrinted>
  <dcterms:modified xsi:type="dcterms:W3CDTF">2026-06-04T07:44:33Z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2EA39FCB56A140BFBD87B9C77707E3A0_13</vt:lpwstr>
  </property>
  <property fmtid="{D5CDD505-2E9C-101B-9397-08002B2CF9AE}" pid="4" name="KSOTemplateDocerSaveRecord">
    <vt:lpwstr>eyJoZGlkIjoiMTVmMTk1YTZjZjkwMTQyOTEyMDQ0MzI2Y2I1NWI1ODciLCJ1c2VySWQiOiI3ODYyMjEyMDMifQ==</vt:lpwstr>
  </property>
</Properties>
</file>